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rsidRPr="001054E8" w14:paraId="70227C3A" w14:textId="77777777" w:rsidTr="00731283">
        <w:tc>
          <w:tcPr>
            <w:tcW w:w="2340" w:type="dxa"/>
          </w:tcPr>
          <w:p w14:paraId="7F62847F" w14:textId="77777777" w:rsidR="001A1ED3" w:rsidRPr="001054E8" w:rsidRDefault="001A1ED3" w:rsidP="00731283">
            <w:pPr>
              <w:tabs>
                <w:tab w:val="right" w:pos="9498"/>
              </w:tabs>
              <w:spacing w:line="360" w:lineRule="auto"/>
              <w:rPr>
                <w:b/>
              </w:rPr>
            </w:pPr>
            <w:r w:rsidRPr="001054E8">
              <w:t>Numri i lëndës:</w:t>
            </w:r>
          </w:p>
        </w:tc>
        <w:tc>
          <w:tcPr>
            <w:tcW w:w="2250" w:type="dxa"/>
          </w:tcPr>
          <w:p w14:paraId="0181EB09" w14:textId="77777777" w:rsidR="001A1ED3" w:rsidRPr="001054E8" w:rsidRDefault="008B530A"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rsidRPr="001054E8">
                  <w:t>2024:001718</w:t>
                </w:r>
              </w:sdtContent>
            </w:sdt>
          </w:p>
        </w:tc>
      </w:tr>
      <w:tr w:rsidR="001A1ED3" w:rsidRPr="001054E8" w14:paraId="04C3271A" w14:textId="77777777" w:rsidTr="00731283">
        <w:tc>
          <w:tcPr>
            <w:tcW w:w="2340" w:type="dxa"/>
          </w:tcPr>
          <w:p w14:paraId="7604B39B" w14:textId="77777777" w:rsidR="001A1ED3" w:rsidRPr="001054E8" w:rsidRDefault="001A1ED3" w:rsidP="00731283">
            <w:pPr>
              <w:tabs>
                <w:tab w:val="right" w:pos="9498"/>
              </w:tabs>
              <w:spacing w:line="360" w:lineRule="auto"/>
              <w:rPr>
                <w:b/>
              </w:rPr>
            </w:pPr>
            <w:r w:rsidRPr="001054E8">
              <w:rPr>
                <w:color w:val="0D0D0D" w:themeColor="text1" w:themeTint="F2"/>
              </w:rPr>
              <w:t>Datë:</w:t>
            </w:r>
          </w:p>
        </w:tc>
        <w:tc>
          <w:tcPr>
            <w:tcW w:w="2250" w:type="dxa"/>
          </w:tcPr>
          <w:p w14:paraId="2D6B3453" w14:textId="77777777" w:rsidR="001A1ED3" w:rsidRPr="001054E8" w:rsidRDefault="008B530A"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sidRPr="001054E8">
                  <w:rPr>
                    <w:color w:val="0D0D0D" w:themeColor="text1" w:themeTint="F2"/>
                  </w:rPr>
                  <w:t>20.12.2024</w:t>
                </w:r>
              </w:sdtContent>
            </w:sdt>
          </w:p>
        </w:tc>
      </w:tr>
      <w:tr w:rsidR="001A1ED3" w:rsidRPr="001054E8" w14:paraId="0AD8BEE9" w14:textId="77777777" w:rsidTr="00731283">
        <w:tc>
          <w:tcPr>
            <w:tcW w:w="2340" w:type="dxa"/>
          </w:tcPr>
          <w:p w14:paraId="4DBFC6D8" w14:textId="77777777" w:rsidR="001A1ED3" w:rsidRPr="001054E8" w:rsidRDefault="001A1ED3" w:rsidP="00731283">
            <w:pPr>
              <w:tabs>
                <w:tab w:val="right" w:pos="9498"/>
              </w:tabs>
              <w:spacing w:line="360" w:lineRule="auto"/>
              <w:rPr>
                <w:b/>
              </w:rPr>
            </w:pPr>
            <w:r w:rsidRPr="001054E8">
              <w:t xml:space="preserve">Numri i dokumentit:    </w:t>
            </w:r>
          </w:p>
        </w:tc>
        <w:tc>
          <w:tcPr>
            <w:tcW w:w="2250" w:type="dxa"/>
          </w:tcPr>
          <w:p w14:paraId="513C215D" w14:textId="77777777" w:rsidR="001A1ED3" w:rsidRPr="001054E8" w:rsidRDefault="008B530A"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rsidRPr="001054E8">
                  <w:t>06634672</w:t>
                </w:r>
              </w:sdtContent>
            </w:sdt>
          </w:p>
        </w:tc>
      </w:tr>
    </w:tbl>
    <w:p w14:paraId="3820A71E" w14:textId="77777777" w:rsidR="001A1ED3" w:rsidRPr="001054E8" w:rsidRDefault="001A1ED3" w:rsidP="001054E8">
      <w:pPr>
        <w:rPr>
          <w:b/>
        </w:rPr>
      </w:pPr>
    </w:p>
    <w:p w14:paraId="57B805C2" w14:textId="77777777" w:rsidR="009632AC" w:rsidRPr="001054E8" w:rsidRDefault="009632AC" w:rsidP="009632AC">
      <w:pPr>
        <w:pStyle w:val="NoSpacing"/>
        <w:jc w:val="right"/>
        <w:rPr>
          <w:rFonts w:ascii="Times New Roman" w:hAnsi="Times New Roman" w:cs="Times New Roman"/>
          <w:b/>
          <w:lang w:val="sq-AL"/>
        </w:rPr>
      </w:pPr>
      <w:r w:rsidRPr="001054E8">
        <w:rPr>
          <w:rFonts w:ascii="Times New Roman" w:hAnsi="Times New Roman" w:cs="Times New Roman"/>
          <w:b/>
          <w:lang w:val="sq-AL"/>
        </w:rPr>
        <w:t>A.nr.7/2024</w:t>
      </w:r>
    </w:p>
    <w:p w14:paraId="49C1D7D7" w14:textId="77777777" w:rsidR="009632AC" w:rsidRPr="001054E8" w:rsidRDefault="009632AC" w:rsidP="009632AC">
      <w:pPr>
        <w:pStyle w:val="NoSpacing"/>
        <w:jc w:val="both"/>
        <w:rPr>
          <w:rFonts w:ascii="Times New Roman" w:hAnsi="Times New Roman" w:cs="Times New Roman"/>
          <w:b/>
          <w:lang w:val="sq-AL"/>
        </w:rPr>
      </w:pPr>
    </w:p>
    <w:p w14:paraId="2C823051" w14:textId="65D9791F" w:rsidR="009632AC" w:rsidRPr="001054E8" w:rsidRDefault="009632AC" w:rsidP="009632AC">
      <w:pPr>
        <w:pStyle w:val="NoSpacing"/>
        <w:jc w:val="both"/>
        <w:rPr>
          <w:rFonts w:ascii="Times New Roman" w:hAnsi="Times New Roman" w:cs="Times New Roman"/>
          <w:lang w:val="sq-AL"/>
        </w:rPr>
      </w:pPr>
      <w:r w:rsidRPr="001054E8">
        <w:rPr>
          <w:rFonts w:ascii="Times New Roman" w:hAnsi="Times New Roman" w:cs="Times New Roman"/>
          <w:b/>
          <w:lang w:val="sq-AL"/>
        </w:rPr>
        <w:t>GJYKATA THEMELORE NË PRISHTINË-Departamenti për Çështje Administrative</w:t>
      </w:r>
      <w:r w:rsidRPr="001054E8">
        <w:rPr>
          <w:rFonts w:ascii="Times New Roman" w:hAnsi="Times New Roman" w:cs="Times New Roman"/>
          <w:lang w:val="sq-AL"/>
        </w:rPr>
        <w:t>, me gjyqtarin Rexhep Gashi, në konfliktin administrativ të paditëses M</w:t>
      </w:r>
      <w:r w:rsidR="0095498D">
        <w:rPr>
          <w:rFonts w:ascii="Times New Roman" w:hAnsi="Times New Roman" w:cs="Times New Roman"/>
          <w:lang w:val="sq-AL"/>
        </w:rPr>
        <w:t>.</w:t>
      </w:r>
      <w:r w:rsidRPr="001054E8">
        <w:rPr>
          <w:rFonts w:ascii="Times New Roman" w:hAnsi="Times New Roman" w:cs="Times New Roman"/>
          <w:lang w:val="sq-AL"/>
        </w:rPr>
        <w:t xml:space="preserve"> K</w:t>
      </w:r>
      <w:r w:rsidR="0095498D">
        <w:rPr>
          <w:rFonts w:ascii="Times New Roman" w:hAnsi="Times New Roman" w:cs="Times New Roman"/>
          <w:lang w:val="sq-AL"/>
        </w:rPr>
        <w:t>.</w:t>
      </w:r>
      <w:r w:rsidRPr="001054E8">
        <w:rPr>
          <w:rFonts w:ascii="Times New Roman" w:hAnsi="Times New Roman" w:cs="Times New Roman"/>
          <w:lang w:val="sq-AL"/>
        </w:rPr>
        <w:t xml:space="preserve"> nga fshati Ll</w:t>
      </w:r>
      <w:r w:rsidR="0095498D">
        <w:rPr>
          <w:rFonts w:ascii="Times New Roman" w:hAnsi="Times New Roman" w:cs="Times New Roman"/>
          <w:lang w:val="sq-AL"/>
        </w:rPr>
        <w:t>.</w:t>
      </w:r>
      <w:r w:rsidRPr="001054E8">
        <w:rPr>
          <w:rFonts w:ascii="Times New Roman" w:hAnsi="Times New Roman" w:cs="Times New Roman"/>
          <w:lang w:val="sq-AL"/>
        </w:rPr>
        <w:t>, Rr.”G</w:t>
      </w:r>
      <w:r w:rsidR="0095498D">
        <w:rPr>
          <w:rFonts w:ascii="Times New Roman" w:hAnsi="Times New Roman" w:cs="Times New Roman"/>
          <w:lang w:val="sq-AL"/>
        </w:rPr>
        <w:t>.</w:t>
      </w:r>
      <w:r w:rsidRPr="001054E8">
        <w:rPr>
          <w:rFonts w:ascii="Times New Roman" w:hAnsi="Times New Roman" w:cs="Times New Roman"/>
          <w:lang w:val="sq-AL"/>
        </w:rPr>
        <w:t>” nr.</w:t>
      </w:r>
      <w:r w:rsidR="0095498D">
        <w:rPr>
          <w:rFonts w:ascii="Times New Roman" w:hAnsi="Times New Roman" w:cs="Times New Roman"/>
          <w:lang w:val="sq-AL"/>
        </w:rPr>
        <w:t>.</w:t>
      </w:r>
      <w:r w:rsidRPr="001054E8">
        <w:rPr>
          <w:rFonts w:ascii="Times New Roman" w:hAnsi="Times New Roman" w:cs="Times New Roman"/>
          <w:lang w:val="sq-AL"/>
        </w:rPr>
        <w:t>, K</w:t>
      </w:r>
      <w:r w:rsidR="0095498D">
        <w:rPr>
          <w:rFonts w:ascii="Times New Roman" w:hAnsi="Times New Roman" w:cs="Times New Roman"/>
          <w:lang w:val="sq-AL"/>
        </w:rPr>
        <w:t>.</w:t>
      </w:r>
      <w:r w:rsidRPr="001054E8">
        <w:rPr>
          <w:rFonts w:ascii="Times New Roman" w:hAnsi="Times New Roman" w:cs="Times New Roman"/>
          <w:lang w:val="sq-AL"/>
        </w:rPr>
        <w:t xml:space="preserve"> e P</w:t>
      </w:r>
      <w:r w:rsidR="0095498D">
        <w:rPr>
          <w:rFonts w:ascii="Times New Roman" w:hAnsi="Times New Roman" w:cs="Times New Roman"/>
          <w:lang w:val="sq-AL"/>
        </w:rPr>
        <w:t>.</w:t>
      </w:r>
      <w:r w:rsidRPr="001054E8">
        <w:rPr>
          <w:rFonts w:ascii="Times New Roman" w:hAnsi="Times New Roman" w:cs="Times New Roman"/>
          <w:lang w:val="sq-AL"/>
        </w:rPr>
        <w:t xml:space="preserve">, kundër të paditurës Ministria e Financave, Punës dhe Transfereve-Departamenti i Pensioneve, të cilën sipas ligjit e përfaqëson Ministria e Drejtësisë-Avokatura Shtetërore, duke vendosur lidhur me padinë e paditëses për anulimin e vendimit me nr. të dosjes 236695 i datës 27.12.2023, me kërkesë për kompensim të pensionit bazik të moshës, </w:t>
      </w:r>
      <w:bookmarkStart w:id="0" w:name="_Hlk109157537"/>
      <w:r w:rsidRPr="001054E8">
        <w:rPr>
          <w:rFonts w:ascii="Times New Roman" w:hAnsi="Times New Roman" w:cs="Times New Roman"/>
          <w:lang w:val="sq-AL"/>
        </w:rPr>
        <w:t>jashtë s</w:t>
      </w:r>
      <w:bookmarkEnd w:id="0"/>
      <w:r w:rsidRPr="001054E8">
        <w:rPr>
          <w:rFonts w:ascii="Times New Roman" w:hAnsi="Times New Roman" w:cs="Times New Roman"/>
          <w:lang w:val="sq-AL"/>
        </w:rPr>
        <w:t>eancës gjyqësore me datë 20.12.2024, jep këtë:</w:t>
      </w:r>
    </w:p>
    <w:p w14:paraId="19846BC5" w14:textId="77777777" w:rsidR="009632AC" w:rsidRPr="001054E8" w:rsidRDefault="009632AC" w:rsidP="009632AC">
      <w:pPr>
        <w:pStyle w:val="NoSpacing"/>
        <w:rPr>
          <w:rFonts w:ascii="Times New Roman" w:hAnsi="Times New Roman" w:cs="Times New Roman"/>
          <w:lang w:val="sq-AL"/>
        </w:rPr>
      </w:pPr>
    </w:p>
    <w:p w14:paraId="08271DF7" w14:textId="77777777" w:rsidR="009632AC" w:rsidRPr="001054E8" w:rsidRDefault="009632AC" w:rsidP="009632AC">
      <w:pPr>
        <w:pStyle w:val="NoSpacing"/>
        <w:rPr>
          <w:rFonts w:ascii="Times New Roman" w:hAnsi="Times New Roman" w:cs="Times New Roman"/>
          <w:lang w:val="sq-AL"/>
        </w:rPr>
      </w:pPr>
    </w:p>
    <w:p w14:paraId="5FB54573" w14:textId="77777777" w:rsidR="009632AC" w:rsidRPr="001054E8" w:rsidRDefault="009632AC" w:rsidP="009632AC">
      <w:pPr>
        <w:pStyle w:val="NoSpacing"/>
        <w:jc w:val="center"/>
        <w:rPr>
          <w:rFonts w:ascii="Times New Roman" w:hAnsi="Times New Roman" w:cs="Times New Roman"/>
          <w:b/>
          <w:lang w:val="sq-AL"/>
        </w:rPr>
      </w:pPr>
      <w:r w:rsidRPr="001054E8">
        <w:rPr>
          <w:rFonts w:ascii="Times New Roman" w:hAnsi="Times New Roman" w:cs="Times New Roman"/>
          <w:b/>
          <w:lang w:val="sq-AL"/>
        </w:rPr>
        <w:t>A K T G J Y K I M</w:t>
      </w:r>
    </w:p>
    <w:p w14:paraId="483639DF" w14:textId="77777777" w:rsidR="009632AC" w:rsidRPr="001054E8" w:rsidRDefault="009632AC" w:rsidP="009632AC">
      <w:pPr>
        <w:pStyle w:val="NoSpacing"/>
        <w:jc w:val="center"/>
        <w:rPr>
          <w:rFonts w:ascii="Times New Roman" w:hAnsi="Times New Roman" w:cs="Times New Roman"/>
          <w:b/>
          <w:lang w:val="sq-AL"/>
        </w:rPr>
      </w:pPr>
      <w:r w:rsidRPr="001054E8">
        <w:rPr>
          <w:rFonts w:ascii="Times New Roman" w:hAnsi="Times New Roman" w:cs="Times New Roman"/>
          <w:b/>
          <w:lang w:val="sq-AL"/>
        </w:rPr>
        <w:t>Pa shqyrtim verbal</w:t>
      </w:r>
    </w:p>
    <w:p w14:paraId="63570BD5" w14:textId="77777777" w:rsidR="009632AC" w:rsidRPr="001054E8" w:rsidRDefault="009632AC" w:rsidP="009632AC">
      <w:pPr>
        <w:pStyle w:val="NoSpacing"/>
        <w:rPr>
          <w:rFonts w:ascii="Times New Roman" w:hAnsi="Times New Roman" w:cs="Times New Roman"/>
          <w:lang w:val="sq-AL"/>
        </w:rPr>
      </w:pPr>
    </w:p>
    <w:p w14:paraId="1D6DD2D5" w14:textId="4B716B66" w:rsidR="009632AC" w:rsidRPr="001054E8" w:rsidRDefault="009632AC" w:rsidP="009632AC">
      <w:pPr>
        <w:pStyle w:val="ListParagraph"/>
        <w:numPr>
          <w:ilvl w:val="0"/>
          <w:numId w:val="15"/>
        </w:numPr>
        <w:ind w:left="360"/>
        <w:jc w:val="both"/>
        <w:rPr>
          <w:bCs/>
        </w:rPr>
      </w:pPr>
      <w:r w:rsidRPr="001054E8">
        <w:rPr>
          <w:b/>
        </w:rPr>
        <w:t xml:space="preserve">APROVOHET NË TËRËSI E BAZUAR </w:t>
      </w:r>
      <w:r w:rsidRPr="001054E8">
        <w:t xml:space="preserve">kërkesëpadia e paditëses </w:t>
      </w:r>
      <w:r w:rsidR="0095498D" w:rsidRPr="001054E8">
        <w:t>M</w:t>
      </w:r>
      <w:r w:rsidR="0095498D">
        <w:t>.</w:t>
      </w:r>
      <w:r w:rsidR="0095498D" w:rsidRPr="001054E8">
        <w:t xml:space="preserve"> K</w:t>
      </w:r>
      <w:r w:rsidR="0095498D">
        <w:t>.</w:t>
      </w:r>
      <w:r w:rsidR="0095498D" w:rsidRPr="001054E8">
        <w:t xml:space="preserve"> nga fshati Ll</w:t>
      </w:r>
      <w:r w:rsidR="0095498D">
        <w:t>.</w:t>
      </w:r>
      <w:r w:rsidR="0095498D" w:rsidRPr="001054E8">
        <w:t>, Rr.”G</w:t>
      </w:r>
      <w:r w:rsidR="0095498D">
        <w:t>.</w:t>
      </w:r>
      <w:r w:rsidR="0095498D" w:rsidRPr="001054E8">
        <w:t>” nr.</w:t>
      </w:r>
      <w:r w:rsidR="0095498D">
        <w:t>.</w:t>
      </w:r>
      <w:r w:rsidR="0095498D" w:rsidRPr="001054E8">
        <w:t>, K</w:t>
      </w:r>
      <w:r w:rsidR="0095498D">
        <w:t>.</w:t>
      </w:r>
      <w:r w:rsidR="0095498D" w:rsidRPr="001054E8">
        <w:t xml:space="preserve"> e P</w:t>
      </w:r>
      <w:r w:rsidRPr="001054E8">
        <w:t>.</w:t>
      </w:r>
    </w:p>
    <w:p w14:paraId="193DF0CD" w14:textId="77777777" w:rsidR="009632AC" w:rsidRPr="001054E8" w:rsidRDefault="009632AC" w:rsidP="009632AC">
      <w:pPr>
        <w:tabs>
          <w:tab w:val="left" w:pos="6003"/>
        </w:tabs>
        <w:ind w:right="-360"/>
      </w:pPr>
    </w:p>
    <w:p w14:paraId="784B9D85" w14:textId="6C2F5A81" w:rsidR="009632AC" w:rsidRPr="001054E8" w:rsidRDefault="009632AC" w:rsidP="009632AC">
      <w:pPr>
        <w:pStyle w:val="ListParagraph"/>
        <w:numPr>
          <w:ilvl w:val="0"/>
          <w:numId w:val="15"/>
        </w:numPr>
        <w:ind w:left="360"/>
        <w:jc w:val="both"/>
        <w:rPr>
          <w:bCs/>
        </w:rPr>
      </w:pPr>
      <w:r w:rsidRPr="001054E8">
        <w:rPr>
          <w:b/>
        </w:rPr>
        <w:t>ANULOHET si i kundërligjshëm</w:t>
      </w:r>
      <w:r w:rsidRPr="001054E8">
        <w:t xml:space="preserve"> vendimi me nr. të dosjes 236695 i datës 27.12.2023 i Ministrisë së Financave, Punës dhe Transfereve-Departamenti i Pensioneve dhe paditëses </w:t>
      </w:r>
      <w:r w:rsidR="0095498D" w:rsidRPr="001054E8">
        <w:t>M</w:t>
      </w:r>
      <w:r w:rsidR="0095498D">
        <w:t>.</w:t>
      </w:r>
      <w:r w:rsidR="0095498D" w:rsidRPr="001054E8">
        <w:t xml:space="preserve"> K</w:t>
      </w:r>
      <w:r w:rsidR="0095498D">
        <w:t>.</w:t>
      </w:r>
      <w:r w:rsidR="0095498D" w:rsidRPr="001054E8">
        <w:t xml:space="preserve"> nga fshati Ll</w:t>
      </w:r>
      <w:r w:rsidR="0095498D">
        <w:t>.</w:t>
      </w:r>
      <w:r w:rsidR="0095498D" w:rsidRPr="001054E8">
        <w:t>, Rr.”G</w:t>
      </w:r>
      <w:r w:rsidR="0095498D">
        <w:t>.</w:t>
      </w:r>
      <w:r w:rsidR="0095498D" w:rsidRPr="001054E8">
        <w:t>” nr.</w:t>
      </w:r>
      <w:r w:rsidR="0095498D">
        <w:t>.</w:t>
      </w:r>
      <w:r w:rsidR="0095498D" w:rsidRPr="001054E8">
        <w:t>, K</w:t>
      </w:r>
      <w:r w:rsidR="0095498D">
        <w:t>.</w:t>
      </w:r>
      <w:r w:rsidR="0095498D" w:rsidRPr="001054E8">
        <w:t xml:space="preserve"> e P</w:t>
      </w:r>
      <w:r w:rsidR="0095498D">
        <w:t>.</w:t>
      </w:r>
      <w:r w:rsidRPr="001054E8">
        <w:t>, i njihet e drejta në pension bazik të moshës nga data e ndërprerjes 14.09.2016, sipas vendimit të nxjerr nga e paditura të datës 06.08.2013.</w:t>
      </w:r>
    </w:p>
    <w:p w14:paraId="07E6E83D" w14:textId="77777777" w:rsidR="009632AC" w:rsidRPr="001054E8" w:rsidRDefault="009632AC" w:rsidP="009632AC">
      <w:pPr>
        <w:rPr>
          <w:bCs/>
        </w:rPr>
      </w:pPr>
    </w:p>
    <w:p w14:paraId="40681572" w14:textId="4FFA5D5E" w:rsidR="009632AC" w:rsidRPr="001054E8" w:rsidRDefault="009632AC" w:rsidP="009632AC">
      <w:pPr>
        <w:pStyle w:val="ListParagraph"/>
        <w:numPr>
          <w:ilvl w:val="0"/>
          <w:numId w:val="15"/>
        </w:numPr>
        <w:ind w:left="360"/>
        <w:jc w:val="both"/>
        <w:rPr>
          <w:color w:val="FF0000"/>
        </w:rPr>
      </w:pPr>
      <w:r w:rsidRPr="001054E8">
        <w:rPr>
          <w:b/>
          <w:bCs/>
        </w:rPr>
        <w:t>DETYROHET</w:t>
      </w:r>
      <w:r w:rsidRPr="001054E8">
        <w:rPr>
          <w:bCs/>
        </w:rPr>
        <w:t xml:space="preserve"> e paditura </w:t>
      </w:r>
      <w:r w:rsidRPr="001054E8">
        <w:t>Ministria e Financave, Punës dhe Transfereve-Departamenti i Pensioneve</w:t>
      </w:r>
      <w:r w:rsidRPr="001054E8">
        <w:rPr>
          <w:bCs/>
        </w:rPr>
        <w:t xml:space="preserve">, që </w:t>
      </w:r>
      <w:r w:rsidRPr="001054E8">
        <w:t xml:space="preserve">paditëses </w:t>
      </w:r>
      <w:r w:rsidR="0095498D" w:rsidRPr="001054E8">
        <w:t>M</w:t>
      </w:r>
      <w:r w:rsidR="0095498D">
        <w:t>.</w:t>
      </w:r>
      <w:r w:rsidR="0095498D" w:rsidRPr="001054E8">
        <w:t xml:space="preserve"> K</w:t>
      </w:r>
      <w:r w:rsidR="0095498D">
        <w:t>.</w:t>
      </w:r>
      <w:r w:rsidR="0095498D" w:rsidRPr="001054E8">
        <w:t xml:space="preserve"> nga fshati Ll</w:t>
      </w:r>
      <w:r w:rsidR="0095498D">
        <w:t>.</w:t>
      </w:r>
      <w:r w:rsidR="0095498D" w:rsidRPr="001054E8">
        <w:t>, Rr.”G</w:t>
      </w:r>
      <w:r w:rsidR="0095498D">
        <w:t>.</w:t>
      </w:r>
      <w:r w:rsidR="0095498D" w:rsidRPr="001054E8">
        <w:t>” nr.</w:t>
      </w:r>
      <w:r w:rsidR="0095498D">
        <w:t>.</w:t>
      </w:r>
      <w:r w:rsidR="0095498D" w:rsidRPr="001054E8">
        <w:t>, K</w:t>
      </w:r>
      <w:r w:rsidR="0095498D">
        <w:t>.</w:t>
      </w:r>
      <w:r w:rsidR="0095498D" w:rsidRPr="001054E8">
        <w:t xml:space="preserve"> e P</w:t>
      </w:r>
      <w:r w:rsidR="0095498D">
        <w:t>.</w:t>
      </w:r>
      <w:r w:rsidRPr="001054E8">
        <w:t xml:space="preserve">, në emër të kompensimit retroaktiv për pensionin bazik të moshës nga data 14.09.2016 deri me datë 31.12.2018, t’ia paguaj shumën mujore prej 70€, nga data 01.01.2019 e deri me </w:t>
      </w:r>
      <w:r w:rsidRPr="001054E8">
        <w:rPr>
          <w:color w:val="000000" w:themeColor="text1"/>
        </w:rPr>
        <w:t>datë 31.12.2021,</w:t>
      </w:r>
      <w:r w:rsidRPr="001054E8">
        <w:t xml:space="preserve"> t’ia paguaj shumën mujore prej 90€, nga data 01.01.2022 e deri me datë 10.10.2024, t’ia paguaj shumën mujore prej 100€, si dhe nga data 11.10.2024 e deri në ekzistimin e kushteve ligjore për njohjen dhe pagesën e këtij pensioni, t’ia paguaj paditëses shumën mujore prej 120€, respektivisht për të ardhmen paditëses t’ia paguaj shumën e aplikueshme për këtë lloj pensioni, në </w:t>
      </w:r>
      <w:r w:rsidRPr="001054E8">
        <w:rPr>
          <w:color w:val="000000" w:themeColor="text1"/>
        </w:rPr>
        <w:t>afat prej 15 ditësh, nga dita e marrjes së këtij aktgjykimi.</w:t>
      </w:r>
      <w:r w:rsidR="0095498D">
        <w:rPr>
          <w:color w:val="000000" w:themeColor="text1"/>
        </w:rPr>
        <w:t xml:space="preserve"> </w:t>
      </w:r>
    </w:p>
    <w:p w14:paraId="740B9379" w14:textId="77777777" w:rsidR="009632AC" w:rsidRPr="001054E8" w:rsidRDefault="009632AC" w:rsidP="009632AC">
      <w:pPr>
        <w:rPr>
          <w:color w:val="FF0000"/>
        </w:rPr>
      </w:pPr>
    </w:p>
    <w:p w14:paraId="7B2579B9" w14:textId="77777777" w:rsidR="009632AC" w:rsidRPr="001054E8" w:rsidRDefault="009632AC" w:rsidP="009632AC">
      <w:pPr>
        <w:pStyle w:val="ListParagraph"/>
        <w:numPr>
          <w:ilvl w:val="0"/>
          <w:numId w:val="15"/>
        </w:numPr>
        <w:ind w:left="360"/>
        <w:jc w:val="both"/>
      </w:pPr>
      <w:r w:rsidRPr="001054E8">
        <w:t>Ky aktgjykim e zëvendëson</w:t>
      </w:r>
      <w:r w:rsidRPr="001054E8">
        <w:rPr>
          <w:b/>
        </w:rPr>
        <w:t xml:space="preserve"> </w:t>
      </w:r>
      <w:r w:rsidRPr="001054E8">
        <w:t>vendimin nr. të dosjes 236695 i datës 27.12.2023 të Ministrisë së Financave, Punës dhe Transfereve-Departamenti i Pensioneve.</w:t>
      </w:r>
    </w:p>
    <w:p w14:paraId="67BB9648" w14:textId="77777777" w:rsidR="009632AC" w:rsidRPr="001054E8" w:rsidRDefault="009632AC" w:rsidP="009632AC"/>
    <w:p w14:paraId="22812D89" w14:textId="77777777" w:rsidR="009632AC" w:rsidRPr="001054E8" w:rsidRDefault="009632AC" w:rsidP="009632AC">
      <w:pPr>
        <w:pStyle w:val="ListParagraph"/>
        <w:numPr>
          <w:ilvl w:val="0"/>
          <w:numId w:val="15"/>
        </w:numPr>
        <w:ind w:left="360"/>
        <w:jc w:val="both"/>
        <w:rPr>
          <w:bCs/>
        </w:rPr>
      </w:pPr>
      <w:r w:rsidRPr="001054E8">
        <w:t>Secila palë i bart shpenzimet e veta procedurale.</w:t>
      </w:r>
    </w:p>
    <w:p w14:paraId="50BCB164" w14:textId="77777777" w:rsidR="009632AC" w:rsidRPr="001054E8" w:rsidRDefault="009632AC" w:rsidP="009632AC">
      <w:pPr>
        <w:pStyle w:val="NoSpacing"/>
        <w:rPr>
          <w:rFonts w:ascii="Times New Roman" w:hAnsi="Times New Roman" w:cs="Times New Roman"/>
          <w:lang w:val="sq-AL"/>
        </w:rPr>
      </w:pPr>
    </w:p>
    <w:p w14:paraId="71EE3440" w14:textId="77777777" w:rsidR="009632AC" w:rsidRPr="001054E8" w:rsidRDefault="009632AC" w:rsidP="009632AC">
      <w:pPr>
        <w:pStyle w:val="NoSpacing"/>
        <w:jc w:val="center"/>
        <w:rPr>
          <w:rFonts w:ascii="Times New Roman" w:hAnsi="Times New Roman" w:cs="Times New Roman"/>
          <w:lang w:val="sq-AL"/>
        </w:rPr>
      </w:pPr>
    </w:p>
    <w:p w14:paraId="5A575CCE" w14:textId="77777777" w:rsidR="009632AC" w:rsidRPr="001054E8" w:rsidRDefault="009632AC" w:rsidP="009632AC">
      <w:pPr>
        <w:pStyle w:val="NoSpacing"/>
        <w:jc w:val="center"/>
        <w:rPr>
          <w:rFonts w:ascii="Times New Roman" w:hAnsi="Times New Roman" w:cs="Times New Roman"/>
          <w:b/>
          <w:lang w:val="sq-AL"/>
        </w:rPr>
      </w:pPr>
      <w:r w:rsidRPr="001054E8">
        <w:rPr>
          <w:rFonts w:ascii="Times New Roman" w:hAnsi="Times New Roman" w:cs="Times New Roman"/>
          <w:b/>
          <w:lang w:val="sq-AL"/>
        </w:rPr>
        <w:t>A r s y e t i m</w:t>
      </w:r>
    </w:p>
    <w:p w14:paraId="649037DB" w14:textId="77777777" w:rsidR="009632AC" w:rsidRPr="001054E8" w:rsidRDefault="009632AC" w:rsidP="009632AC">
      <w:pPr>
        <w:pStyle w:val="NoSpacing"/>
        <w:rPr>
          <w:rFonts w:ascii="Times New Roman" w:hAnsi="Times New Roman" w:cs="Times New Roman"/>
          <w:lang w:val="sq-AL"/>
        </w:rPr>
      </w:pPr>
    </w:p>
    <w:p w14:paraId="0BBBB16A" w14:textId="77777777" w:rsidR="009632AC" w:rsidRPr="001054E8" w:rsidRDefault="009632AC" w:rsidP="009632AC">
      <w:pPr>
        <w:pStyle w:val="NoSpacing"/>
        <w:rPr>
          <w:rFonts w:ascii="Times New Roman" w:hAnsi="Times New Roman" w:cs="Times New Roman"/>
          <w:lang w:val="sq-AL"/>
        </w:rPr>
      </w:pPr>
    </w:p>
    <w:p w14:paraId="3A91F5B7" w14:textId="0E5B31D2" w:rsidR="009632AC" w:rsidRPr="001054E8" w:rsidRDefault="009632AC" w:rsidP="009632AC">
      <w:pPr>
        <w:pStyle w:val="NoSpacing"/>
        <w:jc w:val="both"/>
        <w:rPr>
          <w:rFonts w:ascii="Times New Roman" w:hAnsi="Times New Roman" w:cs="Times New Roman"/>
          <w:lang w:val="sq-AL"/>
        </w:rPr>
      </w:pPr>
      <w:r w:rsidRPr="001054E8">
        <w:rPr>
          <w:rFonts w:ascii="Times New Roman" w:hAnsi="Times New Roman" w:cs="Times New Roman"/>
          <w:lang w:val="sq-AL"/>
        </w:rPr>
        <w:t xml:space="preserve">Me </w:t>
      </w:r>
      <w:r w:rsidRPr="001054E8">
        <w:rPr>
          <w:rFonts w:ascii="Times New Roman" w:hAnsi="Times New Roman" w:cs="Times New Roman"/>
          <w:bCs/>
          <w:lang w:val="sq-AL"/>
        </w:rPr>
        <w:t>vendimin e kontestuar</w:t>
      </w:r>
      <w:r w:rsidRPr="001054E8">
        <w:rPr>
          <w:rFonts w:ascii="Times New Roman" w:hAnsi="Times New Roman" w:cs="Times New Roman"/>
          <w:lang w:val="sq-AL"/>
        </w:rPr>
        <w:t xml:space="preserve"> me nr. të dosjes 236695 i datës 27.12.2023, e paditura Ministria e Financave, Punës dhe Transfereve-Departamenti i Pensioneve, e ka refuzuar si të pa bazuar kërkesën e znj.M</w:t>
      </w:r>
      <w:r w:rsidR="0095498D">
        <w:rPr>
          <w:rFonts w:ascii="Times New Roman" w:hAnsi="Times New Roman" w:cs="Times New Roman"/>
          <w:lang w:val="sq-AL"/>
        </w:rPr>
        <w:t>.</w:t>
      </w:r>
      <w:r w:rsidRPr="001054E8">
        <w:rPr>
          <w:rFonts w:ascii="Times New Roman" w:hAnsi="Times New Roman" w:cs="Times New Roman"/>
          <w:lang w:val="sq-AL"/>
        </w:rPr>
        <w:t xml:space="preserve"> K</w:t>
      </w:r>
      <w:r w:rsidR="0095498D">
        <w:rPr>
          <w:rFonts w:ascii="Times New Roman" w:hAnsi="Times New Roman" w:cs="Times New Roman"/>
          <w:lang w:val="sq-AL"/>
        </w:rPr>
        <w:t>.</w:t>
      </w:r>
      <w:r w:rsidRPr="001054E8">
        <w:rPr>
          <w:rFonts w:ascii="Times New Roman" w:hAnsi="Times New Roman" w:cs="Times New Roman"/>
          <w:lang w:val="sq-AL"/>
        </w:rPr>
        <w:t>, këtu paditëses për ekzekutimin e pagesës së pensionit bazë, me arsyetimin se e njëjta është përfituese e të drejtës në pension të Familjeve të Viktimave Civile të Luftës.</w:t>
      </w:r>
    </w:p>
    <w:p w14:paraId="0C8C4EE4" w14:textId="77777777" w:rsidR="009632AC" w:rsidRPr="001054E8" w:rsidRDefault="009632AC" w:rsidP="009632AC">
      <w:pPr>
        <w:pStyle w:val="NoSpacing"/>
        <w:jc w:val="both"/>
        <w:rPr>
          <w:rFonts w:ascii="Times New Roman" w:hAnsi="Times New Roman" w:cs="Times New Roman"/>
          <w:lang w:val="sq-AL"/>
        </w:rPr>
      </w:pPr>
    </w:p>
    <w:p w14:paraId="7DBB3965" w14:textId="77777777" w:rsidR="009632AC" w:rsidRPr="001054E8" w:rsidRDefault="009632AC" w:rsidP="009632AC">
      <w:pPr>
        <w:pStyle w:val="NoSpacing"/>
        <w:jc w:val="both"/>
        <w:rPr>
          <w:rFonts w:ascii="Times New Roman" w:hAnsi="Times New Roman" w:cs="Times New Roman"/>
          <w:bCs/>
          <w:lang w:val="sq-AL"/>
        </w:rPr>
      </w:pPr>
      <w:r w:rsidRPr="001054E8">
        <w:rPr>
          <w:rFonts w:ascii="Times New Roman" w:hAnsi="Times New Roman" w:cs="Times New Roman"/>
          <w:bCs/>
          <w:lang w:val="sq-AL"/>
        </w:rPr>
        <w:t xml:space="preserve">Paditësja e pa kënaqur me vendimin e kontestuar, </w:t>
      </w:r>
      <w:r w:rsidRPr="001054E8">
        <w:rPr>
          <w:rFonts w:ascii="Times New Roman" w:hAnsi="Times New Roman" w:cs="Times New Roman"/>
          <w:lang w:val="sq-AL"/>
        </w:rPr>
        <w:t>me padinë e paraqitur në gjykatë me datë 03.01.2024, ka iniciuar konfliktin administrativ kundër të paditurës Ministra e Financave, Punës dhe Transfereve</w:t>
      </w:r>
      <w:r w:rsidRPr="001054E8">
        <w:rPr>
          <w:rFonts w:ascii="Times New Roman" w:hAnsi="Times New Roman" w:cs="Times New Roman"/>
          <w:bCs/>
          <w:lang w:val="sq-AL"/>
        </w:rPr>
        <w:t>-</w:t>
      </w:r>
      <w:r w:rsidRPr="001054E8">
        <w:rPr>
          <w:rFonts w:ascii="Times New Roman" w:hAnsi="Times New Roman" w:cs="Times New Roman"/>
          <w:lang w:val="sq-AL"/>
        </w:rPr>
        <w:t>Departamenti i Pensioneve</w:t>
      </w:r>
      <w:r w:rsidRPr="001054E8">
        <w:rPr>
          <w:rFonts w:ascii="Times New Roman" w:hAnsi="Times New Roman" w:cs="Times New Roman"/>
          <w:bCs/>
          <w:lang w:val="sq-AL"/>
        </w:rPr>
        <w:t>, siç kuptohet nga padia për shkak se nuk janë aplikuar drejt dispozitat ligjore, me të cilën ka kërkuar që të anulohet vendimi me nr. të dosjes 236695 i datës 05.08.2013 i nxjerr me dt.27.12.2023 i MPFT-së, si dhe gjykata të miratoj kërkesën e paditësit duk e obliguar MFPT-në që t’ia rimbursoj mjetet për muajt e pa paguar që nga data e ndërprerjes së këtij pensioni.</w:t>
      </w:r>
    </w:p>
    <w:p w14:paraId="1295DD37" w14:textId="77777777" w:rsidR="009632AC" w:rsidRPr="001054E8" w:rsidRDefault="009632AC" w:rsidP="009632AC">
      <w:pPr>
        <w:pStyle w:val="NoSpacing"/>
        <w:jc w:val="both"/>
        <w:rPr>
          <w:rFonts w:ascii="Times New Roman" w:hAnsi="Times New Roman" w:cs="Times New Roman"/>
          <w:lang w:val="sq-AL"/>
        </w:rPr>
      </w:pPr>
      <w:r w:rsidRPr="001054E8">
        <w:rPr>
          <w:rFonts w:ascii="Times New Roman" w:hAnsi="Times New Roman" w:cs="Times New Roman"/>
          <w:bCs/>
          <w:lang w:val="sq-AL"/>
        </w:rPr>
        <w:t xml:space="preserve">Në padi është theksuar se paditësja ka parashtruar kërkesë tek e paditura që ti njihet e drejta në pensionin bazë, duke kërkuar edhe rimbursimin e tij, i cili i është ndërprerë, me arsyetimin se, je përfitues apo gëzon pensionin e familjes së viktimave civile të luftës, e ku DP/PMFT-ja i kishte thënë se nuk të takojnë dy pensione, andaj zgjidhe cili është më i favorshëm për ju, e duke i ndërprerë pensionin bazë në vitin 2016. Ka cekur se paditësja është përfitues i pensionit të familjes së viktimave civile të luftës, por që pensionin e moshës e kishte gëzuar deri në vitin 2016, kur ju kishte ndalur kjo e drejtë. Pala kishte aplikuar në DP/MFPT, të cilët i kishin refuzuar këtë të drejtë me arsyetimin se nuk i takojnë dy pensione. Ka vijuar se paditësja kërkon që ti njihet e drejta, pasi që i takon me ligje dhe atë sipas nenit 23 par.2 të Ligjit nr.04/L-054 </w:t>
      </w:r>
      <w:r w:rsidRPr="001054E8">
        <w:rPr>
          <w:rFonts w:ascii="Times New Roman" w:hAnsi="Times New Roman" w:cs="Times New Roman"/>
          <w:lang w:val="sq-AL"/>
        </w:rPr>
        <w:t xml:space="preserve">për Statusin dhe të Drejtat e Dëshmorëve, Invalidëve, Veteranëve, Pjesëtareve të Ushtrisë Çlirimtare të Kosovës, Viktimave Civile dhe Familjeve të tyre. Ka theksuar se lidhur me këtë çështje ekziston edhe praktika e gjykatave tona siç është aktgjykimi A.nr.280/17 i datës 04.02.2020, Aktgjykimi i Gjykatës së Apelit AA.nr.353/2020 i datës 28.05.2021 dhe Aktgjykimi i Gjykatës Supreme të Kosovës ARJ.nr.77/2021. </w:t>
      </w:r>
    </w:p>
    <w:p w14:paraId="1A5454D5" w14:textId="77777777" w:rsidR="009632AC" w:rsidRPr="001054E8" w:rsidRDefault="009632AC" w:rsidP="009632AC">
      <w:pPr>
        <w:pStyle w:val="NoSpacing"/>
        <w:jc w:val="both"/>
        <w:rPr>
          <w:rFonts w:ascii="Times New Roman" w:hAnsi="Times New Roman" w:cs="Times New Roman"/>
          <w:bCs/>
          <w:lang w:val="sq-AL"/>
        </w:rPr>
      </w:pPr>
      <w:r w:rsidRPr="001054E8">
        <w:rPr>
          <w:rFonts w:ascii="Times New Roman" w:hAnsi="Times New Roman" w:cs="Times New Roman"/>
          <w:lang w:val="sq-AL"/>
        </w:rPr>
        <w:t xml:space="preserve">Në plotësimin e padisë të dorëzuar në gjykatë me datë 11.11.2024, paditësja ka deklaruar se me padi është kërkuar anulimi i vendimit me nr.236695 i datës 27.12.2023, me të cilin është refuzuar si e pa bazuar kërkesa, për ekzekutimin e pagesës së pensionit bazë, me arsyetimin se jam përfituese e të drejtës së pensionit të Familjes së Viktimave Civile, meqë i njëjti vendime ka paraparë edhe të drejtën e ushtrimit të padisë dhe nga kjo bazë është ushtruar edhe padia. Ka thekuar se shuma e pensioni bazë që duhet kompensuar është 70€ prej shtatorit 2016, si dhe shuma prej 100€, prej kohës kur është rritur për të gjitha pensionet, si dhe tani </w:t>
      </w:r>
      <w:r w:rsidRPr="001054E8">
        <w:rPr>
          <w:rFonts w:ascii="Times New Roman" w:hAnsi="Times New Roman" w:cs="Times New Roman"/>
          <w:bCs/>
          <w:lang w:val="sq-AL"/>
        </w:rPr>
        <w:t xml:space="preserve">është shuma prej 20%, nga Qeveria nga tetori 2024, ngase jam diskriminuar me ndërprerjen e pensionit. Në fund i ka propozuar gjykatës që të merr aktgjykim me të cilin e aprovon si të bazuar kërkesëpadinë e paditëses. </w:t>
      </w:r>
    </w:p>
    <w:p w14:paraId="30473EA8" w14:textId="77777777" w:rsidR="009632AC" w:rsidRPr="001054E8" w:rsidRDefault="009632AC" w:rsidP="009632AC">
      <w:pPr>
        <w:pStyle w:val="NoSpacing"/>
        <w:jc w:val="both"/>
        <w:rPr>
          <w:rFonts w:ascii="Times New Roman" w:hAnsi="Times New Roman" w:cs="Times New Roman"/>
          <w:bCs/>
          <w:lang w:val="sq-AL"/>
        </w:rPr>
      </w:pPr>
    </w:p>
    <w:p w14:paraId="383B6D40" w14:textId="77777777" w:rsidR="009632AC" w:rsidRPr="001054E8" w:rsidRDefault="009632AC" w:rsidP="009632AC">
      <w:pPr>
        <w:pStyle w:val="NoSpacing"/>
        <w:jc w:val="both"/>
        <w:rPr>
          <w:rFonts w:ascii="Times New Roman" w:hAnsi="Times New Roman" w:cs="Times New Roman"/>
          <w:lang w:val="sq-AL"/>
        </w:rPr>
      </w:pPr>
      <w:r w:rsidRPr="001054E8">
        <w:rPr>
          <w:rFonts w:ascii="Times New Roman" w:hAnsi="Times New Roman" w:cs="Times New Roman"/>
          <w:color w:val="000000" w:themeColor="text1"/>
          <w:lang w:val="sq-AL"/>
        </w:rPr>
        <w:t xml:space="preserve">E paditura </w:t>
      </w:r>
      <w:r w:rsidRPr="001054E8">
        <w:rPr>
          <w:rFonts w:ascii="Times New Roman" w:hAnsi="Times New Roman" w:cs="Times New Roman"/>
          <w:bCs/>
          <w:lang w:val="sq-AL"/>
        </w:rPr>
        <w:t xml:space="preserve">përfaqësues ligjore-Ministrisë së Drejtësisë-Avokaturës Shtetërore në përgjigjen në padi të datës 22.04.2024, e ka kontestuar kërkesëpadinë e paditëses. Ka theksuar se paditësja ka kërkuar ekzekutimin e pagesës së pensionit bazë me nr.të dosjes 236695 në skemën e pensioneve, pasi që e njëjta ka qenë përfituese e të drejtës në skemën Invalid Civil të Luftës, konform dispozitave ligjore të Ligjit nr.04/L-054 </w:t>
      </w:r>
      <w:r w:rsidRPr="001054E8">
        <w:rPr>
          <w:rFonts w:ascii="Times New Roman" w:hAnsi="Times New Roman" w:cs="Times New Roman"/>
          <w:lang w:val="sq-AL"/>
        </w:rPr>
        <w:t>për Statusin dhe të Drejtat e Dëshmorëve, Invalidëve, Veteranëve, Pjesëtareve të Ushtrisë Çlirimtare të Kosovës, Viktimave Civile dhe Familjeve të tyre.</w:t>
      </w:r>
    </w:p>
    <w:p w14:paraId="5ADB0F42" w14:textId="77777777" w:rsidR="009632AC" w:rsidRPr="001054E8" w:rsidRDefault="009632AC" w:rsidP="009632AC">
      <w:pPr>
        <w:pStyle w:val="NoSpacing"/>
        <w:jc w:val="both"/>
        <w:rPr>
          <w:rFonts w:ascii="Times New Roman" w:hAnsi="Times New Roman" w:cs="Times New Roman"/>
          <w:bCs/>
          <w:lang w:val="sq-AL"/>
        </w:rPr>
      </w:pPr>
      <w:r w:rsidRPr="001054E8">
        <w:rPr>
          <w:rFonts w:ascii="Times New Roman" w:hAnsi="Times New Roman" w:cs="Times New Roman"/>
          <w:lang w:val="sq-AL"/>
        </w:rPr>
        <w:t xml:space="preserve">Ka theksuar se e paditura, DP në MPFT, me datë 27.12.2023, ka refuzuar kërkesën e paditësit, pasi që ka ri shqyrtuar shkresat e lëndës, si dhe provat materiale të bashkangjitura, me vendimin e dt.27.12.2023, duke u bazuar në nenin16 të Ligjit nr.04/L-131 për Skemat Pensionale të Financuara nga Shteti. Ka vijuar se vendimi i dt.13.12.2023 i MPMS, ka konstatuar se në bazë </w:t>
      </w:r>
      <w:r w:rsidRPr="001054E8">
        <w:rPr>
          <w:rFonts w:ascii="Times New Roman" w:hAnsi="Times New Roman" w:cs="Times New Roman"/>
          <w:lang w:val="sq-AL"/>
        </w:rPr>
        <w:lastRenderedPageBreak/>
        <w:t>të dispozitave ligjore të nenit 154 par.1 nën par.1.4 të LPPA-së, për pezullimin e pagesës së pensionit bazë është i drejt dhe i ligjshëm, e po ashtu vendimi i dt.13.12.2023, e ka vërtetuar k</w:t>
      </w:r>
      <w:r w:rsidRPr="001054E8">
        <w:rPr>
          <w:rFonts w:ascii="Times New Roman" w:hAnsi="Times New Roman" w:cs="Times New Roman"/>
          <w:bCs/>
          <w:lang w:val="sq-AL"/>
        </w:rPr>
        <w:t>ëtë çështje konform ligjit në fuqi dhe si i tillë është akt administrativ i ligjshëm i cili është nxjerr konform nenit 48 të LPPA-së.</w:t>
      </w:r>
    </w:p>
    <w:p w14:paraId="20E53D1B" w14:textId="77777777" w:rsidR="009632AC" w:rsidRPr="001054E8" w:rsidRDefault="009632AC" w:rsidP="009632AC">
      <w:pPr>
        <w:pStyle w:val="NoSpacing"/>
        <w:jc w:val="both"/>
        <w:rPr>
          <w:rFonts w:ascii="Times New Roman" w:hAnsi="Times New Roman" w:cs="Times New Roman"/>
          <w:bCs/>
          <w:lang w:val="sq-AL"/>
        </w:rPr>
      </w:pPr>
      <w:r w:rsidRPr="001054E8">
        <w:rPr>
          <w:rFonts w:ascii="Times New Roman" w:hAnsi="Times New Roman" w:cs="Times New Roman"/>
          <w:bCs/>
          <w:lang w:val="sq-AL"/>
        </w:rPr>
        <w:t>Me parashtresën e datës 16.12.2024 të dorëzuar në gjykatë, përfaqësuesja ligjore e të paditurës MD-Avokatura Shtetërore, ka deklaruar se edhe më tej e konteston në tërësi kërkesëpadinë e paditëses si dhe plotësimin e padisë, pasi që për këtë çështje ka dhënë përgjigje në padi, me objekt anulimi të vendimit me nr. dosje 236695 të datës 27.12.2023, të cilin e mbështet. Andaj i ka propozuar gjykatës që të merr aktgjykim me të cilin e refuzon padinë dhe kërkesëpadinë e paditëses dhe e lë në fuqi vendimin e të paditurës me nr.236695 të datës 27.12.2023 të MFPT-DP-së si të bazuar në ligj.</w:t>
      </w:r>
    </w:p>
    <w:p w14:paraId="1565FE64" w14:textId="77777777" w:rsidR="009632AC" w:rsidRPr="001054E8" w:rsidRDefault="009632AC" w:rsidP="009632AC">
      <w:pPr>
        <w:pStyle w:val="NoSpacing"/>
        <w:rPr>
          <w:rFonts w:ascii="Times New Roman" w:hAnsi="Times New Roman" w:cs="Times New Roman"/>
          <w:lang w:val="sq-AL"/>
        </w:rPr>
      </w:pPr>
    </w:p>
    <w:p w14:paraId="04DD040B" w14:textId="77777777" w:rsidR="009632AC" w:rsidRPr="001054E8" w:rsidRDefault="009632AC" w:rsidP="009632AC">
      <w:pPr>
        <w:jc w:val="both"/>
        <w:rPr>
          <w:rFonts w:eastAsia="Times New Roman"/>
          <w:lang w:eastAsia="sq-AL"/>
        </w:rPr>
      </w:pPr>
      <w:r w:rsidRPr="001054E8">
        <w:rPr>
          <w:rFonts w:eastAsia="Times New Roman"/>
          <w:lang w:eastAsia="sq-AL"/>
        </w:rPr>
        <w:t>Gjykata pas pranimit të përgjigjes në padi nga përfaqësuesja ligjore e të paditurës dhe parashtresës të datës 16.12.2024 lidhur me plotësimin e padisë, ka gjetur se në këtë rast janë plotësuar kushtet ligjore të përcaktuara me 38 par.5 të Ligjit për Konfliktet Administrative nr.03/L-202, nenin 398 dhe 399 të LPK-së, për vendosjen e çështjes dhe marrjen e aktgjykimit jashtë seancës pa shqyrtim verbal, sepse ka fakte të mjaftueshme dhe se në mes të palëve nuk është kontestuese gjendja faktike, e as nuk ekzistojnë pengesa të tjera për dhënien e vendimit meritor, pasi që në këtë rast rezulton se kërkesëpadia e paditëses është në tërësi e bazuar, nga arsyet në vijim: </w:t>
      </w:r>
    </w:p>
    <w:p w14:paraId="2DF0D8F0" w14:textId="77777777" w:rsidR="009632AC" w:rsidRPr="001054E8" w:rsidRDefault="009632AC" w:rsidP="009632AC">
      <w:pPr>
        <w:jc w:val="both"/>
        <w:rPr>
          <w:rFonts w:eastAsia="Times New Roman"/>
          <w:lang w:eastAsia="sq-AL"/>
        </w:rPr>
      </w:pPr>
    </w:p>
    <w:p w14:paraId="0BBF38D8" w14:textId="77777777" w:rsidR="009632AC" w:rsidRPr="001054E8" w:rsidRDefault="009632AC" w:rsidP="009632AC">
      <w:pPr>
        <w:jc w:val="both"/>
        <w:rPr>
          <w:rFonts w:eastAsia="Times New Roman"/>
          <w:i/>
          <w:lang w:eastAsia="sq-AL"/>
        </w:rPr>
      </w:pPr>
      <w:r w:rsidRPr="001054E8">
        <w:rPr>
          <w:rFonts w:eastAsia="Times New Roman"/>
          <w:lang w:eastAsia="sq-AL"/>
        </w:rPr>
        <w:t xml:space="preserve">Me nenin 63 të Ligjit për Konfliktet Administrative nr.03/L-202 është paraparë </w:t>
      </w:r>
      <w:r w:rsidRPr="001054E8">
        <w:rPr>
          <w:rFonts w:eastAsia="Times New Roman"/>
          <w:i/>
          <w:lang w:eastAsia="sq-AL"/>
        </w:rPr>
        <w:t>“</w:t>
      </w:r>
      <w:r w:rsidRPr="001054E8">
        <w:rPr>
          <w:i/>
        </w:rPr>
        <w:t>Nëse ky ligj nuk përmban dispozita për procedurën në konfliktet administrative, do të zbatohen</w:t>
      </w:r>
      <w:r w:rsidRPr="001054E8">
        <w:rPr>
          <w:rFonts w:eastAsia="Times New Roman"/>
          <w:i/>
          <w:lang w:eastAsia="sq-AL"/>
        </w:rPr>
        <w:t xml:space="preserve"> </w:t>
      </w:r>
      <w:r w:rsidRPr="001054E8">
        <w:rPr>
          <w:i/>
        </w:rPr>
        <w:t>përshtatshmërisht dispozitat e ligjit për procedurën kontestimore”.</w:t>
      </w:r>
    </w:p>
    <w:p w14:paraId="41F47F26" w14:textId="77777777" w:rsidR="009632AC" w:rsidRPr="001054E8" w:rsidRDefault="009632AC" w:rsidP="009632AC">
      <w:pPr>
        <w:jc w:val="both"/>
        <w:rPr>
          <w:rFonts w:eastAsia="Times New Roman"/>
          <w:lang w:eastAsia="sq-AL"/>
        </w:rPr>
      </w:pPr>
    </w:p>
    <w:p w14:paraId="5BBEB5FC" w14:textId="77777777" w:rsidR="009632AC" w:rsidRPr="001054E8" w:rsidRDefault="009632AC" w:rsidP="009632AC">
      <w:pPr>
        <w:pStyle w:val="NoSpacing"/>
        <w:jc w:val="both"/>
        <w:rPr>
          <w:rFonts w:ascii="Times New Roman" w:hAnsi="Times New Roman" w:cs="Times New Roman"/>
          <w:lang w:val="sq-AL"/>
        </w:rPr>
      </w:pPr>
      <w:r w:rsidRPr="001054E8">
        <w:rPr>
          <w:rFonts w:ascii="Times New Roman" w:hAnsi="Times New Roman" w:cs="Times New Roman"/>
          <w:lang w:val="sq-AL"/>
        </w:rPr>
        <w:t>Me nenin 398 të Ligjit për Procedurën Kontestimore (LPK-së) përcaktohet se “</w:t>
      </w:r>
      <w:r w:rsidRPr="001054E8">
        <w:rPr>
          <w:rFonts w:ascii="Times New Roman" w:eastAsia="MS Mincho" w:hAnsi="Times New Roman" w:cs="Times New Roman"/>
          <w:i/>
          <w:iCs/>
          <w:lang w:val="sq-AL" w:eastAsia="sq-AL"/>
        </w:rPr>
        <w:t xml:space="preserve">Kur gjykata, pasi t’i arrijë përgjigja në padi, konstaton se ndërmjet palëve nuk është kontestuese gjendja faktike, dhe se nuk ekzistojnë pengesa të tjera për dhënien e vendimit meritor, atëherë ajo, pa caktuar fare seancë gjyqësore, mund ta jep aktgjykimin me të cilën e pranon si të themeltë kërkesëpadinë.”, </w:t>
      </w:r>
      <w:r w:rsidRPr="001054E8">
        <w:rPr>
          <w:rFonts w:ascii="Times New Roman" w:eastAsia="MS Mincho" w:hAnsi="Times New Roman" w:cs="Times New Roman"/>
          <w:iCs/>
          <w:lang w:val="sq-AL" w:eastAsia="sq-AL"/>
        </w:rPr>
        <w:t xml:space="preserve">kurse në nenin 4 paragrafi 2 të LPK-së, thuhet </w:t>
      </w:r>
      <w:r w:rsidRPr="001054E8">
        <w:rPr>
          <w:rFonts w:ascii="Times New Roman" w:eastAsia="MS Mincho" w:hAnsi="Times New Roman" w:cs="Times New Roman"/>
          <w:i/>
          <w:iCs/>
          <w:lang w:val="sq-AL" w:eastAsia="sq-AL"/>
        </w:rPr>
        <w:t>“</w:t>
      </w:r>
      <w:r w:rsidRPr="001054E8">
        <w:rPr>
          <w:rFonts w:ascii="Times New Roman" w:hAnsi="Times New Roman" w:cs="Times New Roman"/>
          <w:i/>
          <w:lang w:val="sq-AL"/>
        </w:rPr>
        <w:t>Ndryshe nga dispozita e paragrafit 1 të këtij neni, gjykata vendosë për kërkesëpadinë në bazë të veprimeve procedurale te shkruara dhe provave të administruara në mënyrë jo të drejtpërdrejt, po që se kjo përcaktohet me ligj</w:t>
      </w:r>
      <w:r w:rsidRPr="001054E8">
        <w:rPr>
          <w:rFonts w:ascii="Times New Roman" w:hAnsi="Times New Roman" w:cs="Times New Roman"/>
          <w:lang w:val="sq-AL"/>
        </w:rPr>
        <w:t xml:space="preserve">”. Gjykata në vështrim të këtyre dispozitave ligjore, e duke e pasur parasysh edhe parimin e efikasitetit të përcaktuar me dispozitën e nenit 7 të Ligjit për Konfliktet Administrative, ku parashihet se </w:t>
      </w:r>
      <w:r w:rsidRPr="001054E8">
        <w:rPr>
          <w:rFonts w:ascii="Times New Roman" w:hAnsi="Times New Roman" w:cs="Times New Roman"/>
          <w:i/>
          <w:lang w:val="sq-AL"/>
        </w:rPr>
        <w:t xml:space="preserve">“Gjykata e zbaton konfliktin administrativ shpejtë dhe pa zvarritje, duke iu shmangur veprimeve dhe shpenzimeve të panevojshme, me çka e pamundëson keqpërdorimin dhe zvarritjen e realizimit të të drejtave të palëve, të pjesëmarrësve të tjerë në konflikt dhe vendimin e nxjerrë në afat të parashikuar”, </w:t>
      </w:r>
      <w:r w:rsidRPr="001054E8">
        <w:rPr>
          <w:rFonts w:ascii="Times New Roman" w:hAnsi="Times New Roman" w:cs="Times New Roman"/>
          <w:lang w:val="sq-AL"/>
        </w:rPr>
        <w:t xml:space="preserve">vlerësoj se në këtë rast nuk është e nevojshme mbajtja e shqyrtimit verbal gjyqësor, sepse kontesti ka të bëjë me interpretimin e dispozitave ligjore në fuqi përkitazi me çështjen e pensioneve nga skema e pensionit bazik të moshës dhe pensionit </w:t>
      </w:r>
      <w:r w:rsidRPr="001054E8">
        <w:rPr>
          <w:rFonts w:ascii="Times New Roman" w:hAnsi="Times New Roman" w:cs="Times New Roman"/>
          <w:lang w:val="sq-AL" w:eastAsia="sq-AL"/>
        </w:rPr>
        <w:t>të Familjeve të Viktimave Civile të Luftës, dhe se nuk është kontestuese gjendja faktike, prandaj gjykata e vendosi çështjen pa shqyrtim verbal.</w:t>
      </w:r>
    </w:p>
    <w:p w14:paraId="3E5874F1" w14:textId="77777777" w:rsidR="009632AC" w:rsidRPr="001054E8" w:rsidRDefault="009632AC" w:rsidP="009632AC">
      <w:pPr>
        <w:pStyle w:val="NoSpacing"/>
        <w:jc w:val="both"/>
        <w:rPr>
          <w:rFonts w:ascii="Times New Roman" w:hAnsi="Times New Roman" w:cs="Times New Roman"/>
          <w:lang w:val="sq-AL"/>
        </w:rPr>
      </w:pPr>
    </w:p>
    <w:p w14:paraId="628B06B5" w14:textId="77777777" w:rsidR="009632AC" w:rsidRPr="001054E8" w:rsidRDefault="009632AC" w:rsidP="009632AC">
      <w:pPr>
        <w:pStyle w:val="NoSpacing"/>
        <w:jc w:val="both"/>
        <w:rPr>
          <w:rFonts w:ascii="Times New Roman" w:hAnsi="Times New Roman" w:cs="Times New Roman"/>
          <w:lang w:val="sq-AL" w:eastAsia="sq-AL"/>
        </w:rPr>
      </w:pPr>
      <w:r w:rsidRPr="001054E8">
        <w:rPr>
          <w:rFonts w:ascii="Times New Roman" w:hAnsi="Times New Roman" w:cs="Times New Roman"/>
          <w:lang w:val="sq-AL"/>
        </w:rPr>
        <w:t xml:space="preserve">Nga shqyrtimi i shkresave të lëndës dhe vlerësimi i përgjigjes në padi, gjykata konstatoi se </w:t>
      </w:r>
      <w:r w:rsidRPr="001054E8">
        <w:rPr>
          <w:rFonts w:ascii="Times New Roman" w:hAnsi="Times New Roman" w:cs="Times New Roman"/>
          <w:lang w:val="sq-AL" w:eastAsia="sq-AL"/>
        </w:rPr>
        <w:t>në mes të palëve ndërgjyqësve nuk është kontestuese se e paditura me vendimin e datës 06.08.2013, këtu paditëses i ka njohur të drejtën në pension bazë të moshës, nga data 05.08.2013, në shumën mujore prej 60€, pasi kishte vlerësuar se e njëjta i kishte plotësuar kushtet e përcaktuara me Rregulloren nr.2001/35 për Pensione në Republikën e Kosovës dhe Rregulloren nr.2002/15 mbi Metodologjinë e Caktimit të Lartësisë së Pensionit Bazë, megjithatë këtë fakt gjykata e vërtetoj edhe nga vendimi i datës 06.08.2013 i lëshuar nga Ministria e Punës dhe Mirëqenies Sociale-</w:t>
      </w:r>
      <w:r w:rsidRPr="001054E8">
        <w:rPr>
          <w:rFonts w:ascii="Times New Roman" w:hAnsi="Times New Roman" w:cs="Times New Roman"/>
          <w:lang w:val="sq-AL" w:eastAsia="sq-AL"/>
        </w:rPr>
        <w:lastRenderedPageBreak/>
        <w:t>Departamenti i Administratës Pensionale-Qendra Rajonale Prishtinë</w:t>
      </w:r>
      <w:bookmarkStart w:id="1" w:name="_Hlk109239627"/>
      <w:bookmarkStart w:id="2" w:name="_Hlk109164251"/>
      <w:r w:rsidRPr="001054E8">
        <w:rPr>
          <w:rFonts w:ascii="Times New Roman" w:hAnsi="Times New Roman" w:cs="Times New Roman"/>
          <w:lang w:val="sq-AL" w:eastAsia="sq-AL"/>
        </w:rPr>
        <w:t>, i cili është bashkangjitura shkresave të lëndës</w:t>
      </w:r>
      <w:bookmarkStart w:id="3" w:name="_Hlk109165569"/>
      <w:bookmarkStart w:id="4" w:name="_Hlk109239848"/>
      <w:bookmarkStart w:id="5" w:name="_Hlk109165020"/>
      <w:bookmarkEnd w:id="1"/>
      <w:bookmarkEnd w:id="2"/>
      <w:r w:rsidRPr="001054E8">
        <w:rPr>
          <w:rFonts w:ascii="Times New Roman" w:hAnsi="Times New Roman" w:cs="Times New Roman"/>
          <w:lang w:val="sq-AL" w:eastAsia="sq-AL"/>
        </w:rPr>
        <w:t>.</w:t>
      </w:r>
    </w:p>
    <w:bookmarkEnd w:id="3"/>
    <w:bookmarkEnd w:id="4"/>
    <w:p w14:paraId="0A8D40B3" w14:textId="77777777" w:rsidR="009632AC" w:rsidRPr="001054E8" w:rsidRDefault="009632AC" w:rsidP="009632AC">
      <w:pPr>
        <w:jc w:val="both"/>
        <w:rPr>
          <w:rFonts w:eastAsia="Times New Roman"/>
          <w:lang w:eastAsia="sq-AL"/>
        </w:rPr>
      </w:pPr>
    </w:p>
    <w:p w14:paraId="67F7B890" w14:textId="77777777" w:rsidR="009632AC" w:rsidRPr="001054E8" w:rsidRDefault="009632AC" w:rsidP="009632AC">
      <w:pPr>
        <w:jc w:val="both"/>
        <w:rPr>
          <w:rFonts w:eastAsia="Times New Roman"/>
          <w:lang w:eastAsia="sq-AL"/>
        </w:rPr>
      </w:pPr>
      <w:r w:rsidRPr="001054E8">
        <w:rPr>
          <w:rFonts w:eastAsia="Times New Roman"/>
          <w:lang w:eastAsia="sq-AL"/>
        </w:rPr>
        <w:t xml:space="preserve">Gjykata gjithashtu konstatoj se në këtë procedurë gjyqësore të konfliktit administrative nuk ishte kontestues as fakti tjetër, që paditëses i është njohur e drejta në pension të skemës Familja e Viktimave Civile prej datës 01.10.2002, në shumën mujore prej 168.75€, </w:t>
      </w:r>
      <w:r w:rsidRPr="001054E8">
        <w:rPr>
          <w:lang w:eastAsia="sq-AL"/>
        </w:rPr>
        <w:t>pasi që është konstatuar se kërkesa e paditëses është bazuar konform nenit 5 par.1.1.3 dhe nenit 13 të Ligjit nr.04/L-054 për Statusin dhe të Drejtat e Dëshmorëve, Invalidëve, Veteranëve, Pjesëtarëve të UÇK-së dhe Familjeve të Viktimave Civile dhe ky fakt u vërtetua edhe nga vendimi i lëshuar nga e paditura i datës 26.12.2023.</w:t>
      </w:r>
    </w:p>
    <w:p w14:paraId="25706C97" w14:textId="77777777" w:rsidR="009632AC" w:rsidRPr="001054E8" w:rsidRDefault="009632AC" w:rsidP="009632AC">
      <w:pPr>
        <w:jc w:val="both"/>
        <w:rPr>
          <w:bCs/>
        </w:rPr>
      </w:pPr>
    </w:p>
    <w:p w14:paraId="6502B57E" w14:textId="77777777" w:rsidR="009632AC" w:rsidRPr="001054E8" w:rsidRDefault="009632AC" w:rsidP="009632AC">
      <w:pPr>
        <w:jc w:val="both"/>
        <w:rPr>
          <w:bCs/>
        </w:rPr>
      </w:pPr>
      <w:r w:rsidRPr="001054E8">
        <w:rPr>
          <w:bCs/>
        </w:rPr>
        <w:t>Nga vendimi i kontestuar me nr. të dosjes 236695 i datës 27.12.2023, gjykata e ka nxjerr konstatimin se e paditura, duke vepruar sipas kërkesës për ekzekutimin e pagesës së pensionit bazë të paditëses të datës 05.08.2013, përmes këtij vendimi, i ka refuzuar si të pa bazuar kërkesën e paditëses për ekzekutimin e pagesës së pensionit bazik të moshës, me arsyetimin se e njëjta është përfitues i të drejtës së pensionit të Familjeve të Viktimave Civile të Luftës. Në arsyetim të këtij vendimi është theksuar se ndër tjera se, fakti që ju jeni përfitues i të drejtës në pension të Familjeve të Viktimave Civile të Luftës është bazë e mjaftueshme për pezullimin e pagesës së pensionit bazë nga data 14.09.2016, konform nenit 154 (paragrafi 1, nën paragrafi 1.4) të Ligjit nr.05/L-031 për Procedurën e Përgjithshme Administrative. Në këshillë juridike të këtij vendimi është theksuar se “</w:t>
      </w:r>
      <w:r w:rsidRPr="001054E8">
        <w:rPr>
          <w:bCs/>
          <w:i/>
        </w:rPr>
        <w:t>Pala e pa kënaqur në afat prej 30 ditësh, nga data e pranimi të këtij vendimi, mund ti drejtohet me padi Departamentit për Çështje Administrative, pranë Gjykatës Themelore në Prishtinë</w:t>
      </w:r>
      <w:r w:rsidRPr="001054E8">
        <w:rPr>
          <w:bCs/>
        </w:rPr>
        <w:t xml:space="preserve">”. </w:t>
      </w:r>
    </w:p>
    <w:p w14:paraId="33F99E68" w14:textId="77777777" w:rsidR="009632AC" w:rsidRPr="001054E8" w:rsidRDefault="009632AC" w:rsidP="009632AC">
      <w:pPr>
        <w:jc w:val="both"/>
        <w:rPr>
          <w:bCs/>
        </w:rPr>
      </w:pPr>
    </w:p>
    <w:p w14:paraId="0A3ECA62" w14:textId="77777777" w:rsidR="009632AC" w:rsidRPr="001054E8" w:rsidRDefault="009632AC" w:rsidP="009632AC">
      <w:pPr>
        <w:jc w:val="both"/>
        <w:rPr>
          <w:i/>
        </w:rPr>
      </w:pPr>
      <w:r w:rsidRPr="001054E8">
        <w:t xml:space="preserve">Në nenin 4 par.1 të Ligjit për Procedurën e Përgjithshme Administrative nr.05/L-031 është paraparë </w:t>
      </w:r>
      <w:r w:rsidRPr="001054E8">
        <w:rPr>
          <w:i/>
        </w:rPr>
        <w:t xml:space="preserve">“ </w:t>
      </w:r>
      <w:r w:rsidRPr="001054E8">
        <w:rPr>
          <w:rFonts w:eastAsiaTheme="minorHAnsi"/>
          <w:i/>
        </w:rPr>
        <w:t>1. Organet publike veprojnë në përputhje me Kushtetutën, legjislacionin në fuqi, si edhe me</w:t>
      </w:r>
      <w:r w:rsidRPr="001054E8">
        <w:rPr>
          <w:i/>
        </w:rPr>
        <w:t xml:space="preserve"> </w:t>
      </w:r>
      <w:r w:rsidRPr="001054E8">
        <w:rPr>
          <w:rFonts w:eastAsiaTheme="minorHAnsi"/>
          <w:i/>
        </w:rPr>
        <w:t>rregullat e përgjithshme administrative të zbatueshme brenda kompetencave të tyre dhe në</w:t>
      </w:r>
      <w:r w:rsidRPr="001054E8">
        <w:rPr>
          <w:i/>
        </w:rPr>
        <w:t xml:space="preserve"> </w:t>
      </w:r>
      <w:r w:rsidRPr="001054E8">
        <w:rPr>
          <w:rFonts w:eastAsiaTheme="minorHAnsi"/>
          <w:i/>
        </w:rPr>
        <w:t>përputhje me qëllimin për të cilat janë dhënë këto kompetenca”.</w:t>
      </w:r>
      <w:r w:rsidRPr="001054E8">
        <w:rPr>
          <w:rFonts w:eastAsiaTheme="minorHAnsi"/>
        </w:rPr>
        <w:t xml:space="preserve"> Në nenin 8 të këtij ligji parashihet </w:t>
      </w:r>
      <w:r w:rsidRPr="001054E8">
        <w:rPr>
          <w:rFonts w:eastAsiaTheme="minorHAnsi"/>
          <w:i/>
        </w:rPr>
        <w:t>“1. Veprimet e organeve publike duhet të jenë të parashikueshme dhe të respektojnë pritshmëritë</w:t>
      </w:r>
      <w:r w:rsidRPr="001054E8">
        <w:rPr>
          <w:i/>
        </w:rPr>
        <w:t xml:space="preserve"> </w:t>
      </w:r>
      <w:r w:rsidRPr="001054E8">
        <w:rPr>
          <w:rFonts w:eastAsiaTheme="minorHAnsi"/>
          <w:i/>
        </w:rPr>
        <w:t>legjitime dhe të arsyeshme të personave.</w:t>
      </w:r>
      <w:r w:rsidRPr="001054E8">
        <w:rPr>
          <w:i/>
        </w:rPr>
        <w:t xml:space="preserve"> </w:t>
      </w:r>
      <w:r w:rsidRPr="001054E8">
        <w:rPr>
          <w:rFonts w:eastAsiaTheme="minorHAnsi"/>
          <w:i/>
        </w:rPr>
        <w:t>2. Një veprim administrativ nuk mund të ndryshojë në mënyrë të pajustifikuar nga një praktikë</w:t>
      </w:r>
      <w:r w:rsidRPr="001054E8">
        <w:rPr>
          <w:i/>
        </w:rPr>
        <w:t xml:space="preserve"> </w:t>
      </w:r>
      <w:r w:rsidRPr="001054E8">
        <w:rPr>
          <w:rFonts w:eastAsiaTheme="minorHAnsi"/>
          <w:i/>
        </w:rPr>
        <w:t>administrative e mëparshme e të njëjtit organ për raste të njëjta a të ngjashme”.</w:t>
      </w:r>
      <w:r w:rsidRPr="001054E8">
        <w:rPr>
          <w:i/>
        </w:rPr>
        <w:t xml:space="preserve"> </w:t>
      </w:r>
      <w:r w:rsidRPr="001054E8">
        <w:rPr>
          <w:bCs/>
        </w:rPr>
        <w:t xml:space="preserve">Në nenin 13 të këtij ligji thuhet </w:t>
      </w:r>
      <w:r w:rsidRPr="001054E8">
        <w:rPr>
          <w:bCs/>
          <w:i/>
        </w:rPr>
        <w:t xml:space="preserve">“ </w:t>
      </w:r>
      <w:r w:rsidRPr="001054E8">
        <w:rPr>
          <w:rFonts w:eastAsiaTheme="minorHAnsi"/>
          <w:i/>
        </w:rPr>
        <w:t>Përveç kur përjashtohet shprehimisht me ligj, secili person ka të drejtë të ushtrojë mjetet juridike</w:t>
      </w:r>
      <w:r w:rsidRPr="001054E8">
        <w:rPr>
          <w:i/>
        </w:rPr>
        <w:t xml:space="preserve"> </w:t>
      </w:r>
      <w:r w:rsidRPr="001054E8">
        <w:rPr>
          <w:rFonts w:eastAsiaTheme="minorHAnsi"/>
          <w:i/>
        </w:rPr>
        <w:t>administrative dhe ato gjyqësore, në mënyrën e përcaktuar me ligj, kundër një veprimi apo</w:t>
      </w:r>
      <w:r w:rsidRPr="001054E8">
        <w:rPr>
          <w:i/>
        </w:rPr>
        <w:t xml:space="preserve"> </w:t>
      </w:r>
      <w:r w:rsidRPr="001054E8">
        <w:rPr>
          <w:rFonts w:eastAsiaTheme="minorHAnsi"/>
          <w:i/>
        </w:rPr>
        <w:t>mosveprimi administrativ të organit publik që i cenon një të drejtë apo një interes juridik”.</w:t>
      </w:r>
      <w:r w:rsidRPr="001054E8">
        <w:rPr>
          <w:rFonts w:eastAsiaTheme="minorHAnsi"/>
        </w:rPr>
        <w:t xml:space="preserve"> Në nenin 48 të këtij ligji është përcaktuar “</w:t>
      </w:r>
      <w:r w:rsidRPr="001054E8">
        <w:rPr>
          <w:rFonts w:eastAsiaTheme="minorHAnsi"/>
          <w:i/>
        </w:rPr>
        <w:t>1. Arsyetimi i siguron palës mundësinë që ta kuptojë aktin administrativ. Arsyetimi përmban:</w:t>
      </w:r>
      <w:r w:rsidRPr="001054E8">
        <w:rPr>
          <w:i/>
        </w:rPr>
        <w:t xml:space="preserve"> </w:t>
      </w:r>
      <w:r w:rsidRPr="001054E8">
        <w:rPr>
          <w:rFonts w:eastAsiaTheme="minorHAnsi"/>
          <w:i/>
        </w:rPr>
        <w:t>1.1. paraqitje të shkurtër të kërkesës së palës;</w:t>
      </w:r>
      <w:r w:rsidRPr="001054E8">
        <w:rPr>
          <w:i/>
        </w:rPr>
        <w:t xml:space="preserve"> </w:t>
      </w:r>
      <w:r w:rsidRPr="001054E8">
        <w:rPr>
          <w:rFonts w:eastAsiaTheme="minorHAnsi"/>
          <w:i/>
        </w:rPr>
        <w:t>1.2. shpjegimin e situatës faktike mbi të cilën është marrë vendimi;</w:t>
      </w:r>
      <w:r w:rsidRPr="001054E8">
        <w:rPr>
          <w:i/>
        </w:rPr>
        <w:t xml:space="preserve"> </w:t>
      </w:r>
      <w:r w:rsidRPr="001054E8">
        <w:rPr>
          <w:rFonts w:eastAsiaTheme="minorHAnsi"/>
          <w:i/>
        </w:rPr>
        <w:t>1.3. shkaqet të cilat kanë qenë vendimtare gjatë vlerësimit të provave;</w:t>
      </w:r>
      <w:r w:rsidRPr="001054E8">
        <w:rPr>
          <w:i/>
        </w:rPr>
        <w:t xml:space="preserve"> </w:t>
      </w:r>
      <w:r w:rsidRPr="001054E8">
        <w:rPr>
          <w:rFonts w:eastAsiaTheme="minorHAnsi"/>
          <w:i/>
        </w:rPr>
        <w:t>1.4. bazën ligjore të vendimit dhe arsyen pse është e zbatueshme në rastin konkret;</w:t>
      </w:r>
      <w:r w:rsidRPr="001054E8">
        <w:rPr>
          <w:i/>
        </w:rPr>
        <w:t xml:space="preserve"> </w:t>
      </w:r>
      <w:r w:rsidRPr="001054E8">
        <w:rPr>
          <w:rFonts w:eastAsiaTheme="minorHAnsi"/>
          <w:i/>
        </w:rPr>
        <w:t>1.5. shkaqet për të cilat nuk është pranuar ndonjëri nga pretendimet e palëve;</w:t>
      </w:r>
      <w:r w:rsidRPr="001054E8">
        <w:rPr>
          <w:i/>
        </w:rPr>
        <w:t xml:space="preserve"> </w:t>
      </w:r>
      <w:r w:rsidRPr="001054E8">
        <w:rPr>
          <w:rFonts w:eastAsiaTheme="minorHAnsi"/>
          <w:i/>
        </w:rPr>
        <w:t>1.6. në rastin e ushtrimit të diskrecionit, shpjegimin pse është ushtruar ai në mënyrën</w:t>
      </w:r>
      <w:r w:rsidRPr="001054E8">
        <w:rPr>
          <w:i/>
        </w:rPr>
        <w:t xml:space="preserve"> </w:t>
      </w:r>
      <w:r w:rsidRPr="001054E8">
        <w:rPr>
          <w:rFonts w:eastAsiaTheme="minorHAnsi"/>
          <w:i/>
        </w:rPr>
        <w:t>e dhënë në vendim.</w:t>
      </w:r>
      <w:r w:rsidRPr="001054E8">
        <w:rPr>
          <w:i/>
        </w:rPr>
        <w:t xml:space="preserve"> </w:t>
      </w:r>
      <w:r w:rsidRPr="001054E8">
        <w:rPr>
          <w:rFonts w:eastAsiaTheme="minorHAnsi"/>
          <w:i/>
        </w:rPr>
        <w:t>2. Një arsyetim që është dukshëm i pamjaftueshëm, i paqartë, kundërthënës apo i pakuptueshëm,</w:t>
      </w:r>
      <w:r w:rsidRPr="001054E8">
        <w:rPr>
          <w:i/>
        </w:rPr>
        <w:t xml:space="preserve"> </w:t>
      </w:r>
      <w:r w:rsidRPr="001054E8">
        <w:rPr>
          <w:rFonts w:eastAsiaTheme="minorHAnsi"/>
          <w:i/>
        </w:rPr>
        <w:t xml:space="preserve">është i barabartë me mungesën e tij”. </w:t>
      </w:r>
      <w:r w:rsidRPr="001054E8">
        <w:rPr>
          <w:rFonts w:eastAsiaTheme="minorHAnsi"/>
        </w:rPr>
        <w:t xml:space="preserve">Në vijim në nenin 136 par.2 të ligjit të njëjtë është paraparë </w:t>
      </w:r>
      <w:r w:rsidRPr="001054E8">
        <w:rPr>
          <w:rFonts w:eastAsiaTheme="minorHAnsi"/>
          <w:i/>
        </w:rPr>
        <w:t>“6. Ankesa nuk do të përkeqësoj situatën juridike në dëm të palës që ka paraqitur ankesë, përpos nëse shprehimisht është paraparë ndryshe me ligj”.</w:t>
      </w:r>
      <w:r w:rsidRPr="001054E8">
        <w:rPr>
          <w:rFonts w:eastAsiaTheme="minorHAnsi"/>
        </w:rPr>
        <w:t xml:space="preserve"> Kurse në nenin 134 par.1 të këtij ligji thuhet </w:t>
      </w:r>
      <w:r w:rsidRPr="001054E8">
        <w:rPr>
          <w:rFonts w:eastAsiaTheme="minorHAnsi"/>
          <w:i/>
        </w:rPr>
        <w:t xml:space="preserve">“1. Krahas kërkesave të nenit 48 të këtij Ligji, arsyetimi i aktit administrativ që zgjidh ankesën, do të përmbajë, gjithashtu, vlerësimet e të gjitha pretendimeve të parashtruara nga pala në ankesë”. </w:t>
      </w:r>
      <w:r w:rsidRPr="001054E8">
        <w:rPr>
          <w:rFonts w:eastAsiaTheme="minorHAnsi"/>
        </w:rPr>
        <w:t xml:space="preserve">Në nenin 154 të këtij ligji është </w:t>
      </w:r>
      <w:r w:rsidRPr="001054E8">
        <w:rPr>
          <w:rFonts w:eastAsiaTheme="minorHAnsi"/>
          <w:i/>
        </w:rPr>
        <w:t>parashikuar “</w:t>
      </w:r>
      <w:r w:rsidRPr="001054E8">
        <w:rPr>
          <w:i/>
        </w:rPr>
        <w:t>1. Ekzekutimi i një akti administrativ ndalet, sipas detyrës zyrtare apo sipas kërkesës, nëse</w:t>
      </w:r>
      <w:r w:rsidRPr="001054E8">
        <w:rPr>
          <w:bCs/>
          <w:i/>
        </w:rPr>
        <w:t xml:space="preserve"> </w:t>
      </w:r>
      <w:r w:rsidRPr="001054E8">
        <w:rPr>
          <w:i/>
        </w:rPr>
        <w:t xml:space="preserve">konstatohet se: 1.1. detyrimi tashmë është përmbushur tërësisht; 1.2. akti administrativ që ekzekutohet, është anuluar </w:t>
      </w:r>
      <w:r w:rsidRPr="001054E8">
        <w:rPr>
          <w:i/>
        </w:rPr>
        <w:lastRenderedPageBreak/>
        <w:t>apo shfuqizuar; 1.3. ekzekutimi është kryer ndaj një subjekti, që nuk ngarkohej nga detyrimet, apo 1.4. sipas ligjit, ekzekutimi nuk lejohej të kryhej. 2. Përveç kur ndalohet shprehimisht me ligj, organi publik kompetent për nxjerrjen e aktit që ekzekutohet apo organi i tij epror, sipas detyrës zyrtare apo sipas kërkesës, mund të pezullojë apo shtyjë ekzekutimin e tij deri në marrjen e një vendimi përfundimtar, nëse pezullimi apo shtyrja është nevojshme për të shmangur një dëm që do të ishte vështirë të kompensohej dhe nëse njëkohësisht nuk do të cenohej interesi publik”.</w:t>
      </w:r>
    </w:p>
    <w:p w14:paraId="25E6D9D6" w14:textId="77777777" w:rsidR="009632AC" w:rsidRPr="001054E8" w:rsidRDefault="009632AC" w:rsidP="009632AC">
      <w:pPr>
        <w:rPr>
          <w:bCs/>
          <w:i/>
        </w:rPr>
      </w:pPr>
    </w:p>
    <w:p w14:paraId="243F9E1E" w14:textId="77777777" w:rsidR="009632AC" w:rsidRPr="001054E8" w:rsidRDefault="009632AC" w:rsidP="009632AC">
      <w:pPr>
        <w:jc w:val="both"/>
        <w:rPr>
          <w:bCs/>
        </w:rPr>
      </w:pPr>
      <w:r w:rsidRPr="001054E8">
        <w:t xml:space="preserve">Në nenin 1 par.1 pika 1.1 të Ligjit nr.04/L-131 për Skemat Pensionale të Financuara nga Shteti është përcaktuar se </w:t>
      </w:r>
      <w:r w:rsidRPr="001054E8">
        <w:rPr>
          <w:i/>
        </w:rPr>
        <w:t>“</w:t>
      </w:r>
      <w:r w:rsidRPr="001054E8">
        <w:rPr>
          <w:rFonts w:eastAsiaTheme="minorHAnsi"/>
          <w:i/>
          <w:color w:val="191919"/>
        </w:rPr>
        <w:t>1. Ky ligj rregullon dhe përcakton:</w:t>
      </w:r>
      <w:r w:rsidRPr="001054E8">
        <w:rPr>
          <w:i/>
        </w:rPr>
        <w:t xml:space="preserve"> </w:t>
      </w:r>
      <w:r w:rsidRPr="001054E8">
        <w:rPr>
          <w:rFonts w:eastAsiaTheme="minorHAnsi"/>
          <w:i/>
          <w:color w:val="191919"/>
        </w:rPr>
        <w:t>1.1. pensionet bazike të moshës, pensionet kontribut paguese të moshës, pensionet e aftësisë së kufizuar,</w:t>
      </w:r>
      <w:r w:rsidRPr="001054E8">
        <w:rPr>
          <w:i/>
        </w:rPr>
        <w:t xml:space="preserve"> </w:t>
      </w:r>
      <w:r w:rsidRPr="001054E8">
        <w:rPr>
          <w:rFonts w:eastAsiaTheme="minorHAnsi"/>
          <w:i/>
          <w:color w:val="191919"/>
        </w:rPr>
        <w:t>pensionet e parakohshme, pensionet familjare dhe pensionet invalidore të punës, si pensione të Shtyllëssë I-rë të financuara nga shteti”.</w:t>
      </w:r>
    </w:p>
    <w:p w14:paraId="37A1A14B" w14:textId="77777777" w:rsidR="009632AC" w:rsidRPr="001054E8" w:rsidRDefault="009632AC" w:rsidP="009632AC">
      <w:pPr>
        <w:jc w:val="both"/>
        <w:rPr>
          <w:bCs/>
        </w:rPr>
      </w:pPr>
    </w:p>
    <w:p w14:paraId="4EB57D28" w14:textId="77777777" w:rsidR="009632AC" w:rsidRPr="001054E8" w:rsidRDefault="009632AC" w:rsidP="009632AC">
      <w:pPr>
        <w:jc w:val="both"/>
        <w:rPr>
          <w:rFonts w:eastAsiaTheme="minorHAnsi"/>
          <w:bCs/>
        </w:rPr>
      </w:pPr>
      <w:r w:rsidRPr="001054E8">
        <w:rPr>
          <w:rFonts w:eastAsiaTheme="minorHAnsi"/>
          <w:color w:val="191919"/>
        </w:rPr>
        <w:t>Në nenin 7 të këtij ligji është përcaktuar “</w:t>
      </w:r>
      <w:r w:rsidRPr="001054E8">
        <w:rPr>
          <w:rFonts w:eastAsiaTheme="minorHAnsi"/>
          <w:i/>
          <w:color w:val="191919"/>
        </w:rPr>
        <w:t>1. Pensioni bazik i moshës do t’iu paguhet të gjithë personave që janë shtetas të përhershëm të Republikës së Kosovës, të cilët posedojnë dokumentet e identifikimit dhe të cilët kanë mbushur moshën gjashtëdhjetë e pesë (65) vjeçare. 2. Dokumente valide të domosdoshme për njohjen e të drejtës në pension bazik të moshës janë: 2.1. Letërnjoftimi, i lëshuar nga organi përgjegjës i Republikës së Kosovës; 2.2. Vërtetimi nga Zyra Civile se është banor i përhershëm në adresën e caktuar. 3. Përveç dokumenteve valide të përcaktuar në paragrafin 2 të këtij neni, aplikuesi me rastin e paraqitjes së kërkesës për pension bazik të moshës, duhet të paraqes edhe këto dokumente: 3.1. Fletën e aplikacionin për pension; 3.2. Llogarinë bankare, të lëshuar në njërën nga bankat që operojnë në Kosovë”.</w:t>
      </w:r>
      <w:r w:rsidRPr="001054E8">
        <w:rPr>
          <w:rFonts w:eastAsiaTheme="minorHAnsi"/>
          <w:color w:val="191919"/>
        </w:rPr>
        <w:t xml:space="preserve"> Ndërsa në nenin 16 po të këtij ligji thuhet </w:t>
      </w:r>
      <w:r w:rsidRPr="001054E8">
        <w:rPr>
          <w:rFonts w:eastAsiaTheme="minorHAnsi"/>
          <w:i/>
          <w:color w:val="191919"/>
        </w:rPr>
        <w:t>“Personat të cilët janë përfitues të të cilit do pension të Skemave pensionale të përcaktuara me këtë ligj, nën asnjë rrethanë, nuk mund të jenë përfitues të ndonjë pensioni nga skemat e veçanta pensionale të cilat menaxhohen dhe administrohen nga Ministria”.</w:t>
      </w:r>
    </w:p>
    <w:p w14:paraId="238F493D" w14:textId="77777777" w:rsidR="009632AC" w:rsidRPr="001054E8" w:rsidRDefault="009632AC" w:rsidP="009632AC">
      <w:pPr>
        <w:ind w:left="-432" w:right="-432"/>
        <w:jc w:val="both"/>
      </w:pPr>
      <w:r w:rsidRPr="001054E8">
        <w:rPr>
          <w:rFonts w:eastAsiaTheme="minorHAnsi"/>
          <w:color w:val="191919"/>
        </w:rPr>
        <w:t xml:space="preserve"> </w:t>
      </w:r>
    </w:p>
    <w:p w14:paraId="4AF97D9B" w14:textId="77777777" w:rsidR="009632AC" w:rsidRPr="001054E8" w:rsidRDefault="009632AC" w:rsidP="009632AC">
      <w:pPr>
        <w:jc w:val="both"/>
        <w:rPr>
          <w:i/>
        </w:rPr>
      </w:pPr>
      <w:r w:rsidRPr="001054E8">
        <w:t xml:space="preserve">Në nenin 1 të ligjit Nr.04/L-054 për Statusin dhe të Drejtat e Dëshmorëve, Invalidëve, Veteranëve, Pjesëtareve të Ushtrisë Çlirimtare të Kosovës, Viktimave Civile dhe Familjeve të tyre është paraparë se </w:t>
      </w:r>
      <w:r w:rsidRPr="001054E8">
        <w:rPr>
          <w:i/>
        </w:rPr>
        <w:t>“Qëllimi i nxjerrjes i këtij ligji është përcaktimi i statusit dhe përkrahja financiare përmes pensioneve dhe beneficioneve të veçanta për kategoritë e dala nga lufta e UÇK-së, të cilat me sakrificën dhe kontributin e tyre ishin faktorë vendimtarë për lirinë dhe çlirimin e vendit”.</w:t>
      </w:r>
      <w:r w:rsidRPr="001054E8">
        <w:t xml:space="preserve"> Në vazhdim në nenin 5 par.1, nën par.1.1 pika 1.1.3 të këtij ligji thuhet </w:t>
      </w:r>
      <w:r w:rsidRPr="001054E8">
        <w:rPr>
          <w:i/>
        </w:rPr>
        <w:t xml:space="preserve">“1. Në përputhje me njohjen dhe përcaktimin e statusit për kategoritë e dala nga lufta, pensionet e përcaktuara në këtë ligj janë: 1.1. </w:t>
      </w:r>
      <w:r w:rsidRPr="001054E8">
        <w:rPr>
          <w:bCs/>
          <w:i/>
        </w:rPr>
        <w:t xml:space="preserve">Pensioni familjar </w:t>
      </w:r>
      <w:r w:rsidRPr="001054E8">
        <w:rPr>
          <w:i/>
        </w:rPr>
        <w:t>të cilin e realizojnë: 1.1.3. familja e ngushtë e viktimës civile të luftës”.</w:t>
      </w:r>
      <w:r w:rsidRPr="001054E8">
        <w:t xml:space="preserve"> Në nenin 13 par.1 dhe 2 të këtij ligji është përcaktuar </w:t>
      </w:r>
      <w:r w:rsidRPr="001054E8">
        <w:rPr>
          <w:i/>
        </w:rPr>
        <w:t>“ 1. Anëtarët e familjes së ngushtë të viktimës civile të luftës, sipas kushteve dhe kritereve të përcaktuara në këtë ligj, i realizojnë këto të drejta dhe beneficione: 1.1. pensionin familjar; 1.2. përkujdesjen shëndetësore primare dhe sekondare pa kompensim në nstitucionet shëndetësore publike;  .3. lirimin nga tatimi në pronë, nëse familja e ngushtë është në gjendje të rëndë materiale; 1.4. tarifë të lirë dhe të reduktuar të konsumit të energjisë elektrike për nevoja personale nëse familja e ngushtë përballet me gjendje të rëndë ekonomike dhe i plotëson kriteret sipas skemës së asistencës sociale. 2. Shfrytëzues të pensionit sipas radhës janë: bashkëshorti/ja, fëmijët, fëmijët jashtëmartesor, fëmijët e adoptuar (birësuar), prindërit, thjeshtri, thjeshtra”.</w:t>
      </w:r>
    </w:p>
    <w:p w14:paraId="605471FB" w14:textId="77777777" w:rsidR="009632AC" w:rsidRPr="001054E8" w:rsidRDefault="009632AC" w:rsidP="009632AC">
      <w:pPr>
        <w:jc w:val="both"/>
        <w:rPr>
          <w:rFonts w:eastAsiaTheme="minorHAnsi"/>
          <w:i/>
        </w:rPr>
      </w:pPr>
    </w:p>
    <w:p w14:paraId="22A59FC0" w14:textId="77777777" w:rsidR="009632AC" w:rsidRPr="001054E8" w:rsidRDefault="009632AC" w:rsidP="009632AC">
      <w:pPr>
        <w:jc w:val="both"/>
        <w:rPr>
          <w:lang w:eastAsia="sq-AL"/>
        </w:rPr>
      </w:pPr>
      <w:r w:rsidRPr="001054E8">
        <w:rPr>
          <w:rFonts w:eastAsia="Times New Roman"/>
          <w:lang w:eastAsia="sq-AL"/>
        </w:rPr>
        <w:t xml:space="preserve">Nga interpretimi i drejt i dispozitave ligjore të lartcekura dhe shqyrtimit të shkresave të lëndës, gjykata erdhi në përfundim se kërkesëpadia e paditëses duhet aprovuar në tërësi e bazuar, për arsye se, nga </w:t>
      </w:r>
      <w:r w:rsidRPr="001054E8">
        <w:rPr>
          <w:lang w:eastAsia="sq-AL"/>
        </w:rPr>
        <w:t xml:space="preserve">vendimi i datës 06.08.2013 i lëshuar nga e paditura, rezulton se këtu paditëses i është njohur e drejta në pension bazë të moshës, nga data 05.08.2013, në shumën mujore prej 60€, pasi është vlerësuar se e njëjta i kishte plotësuar kushtet e përcaktuara me Rregulloren </w:t>
      </w:r>
      <w:r w:rsidRPr="001054E8">
        <w:rPr>
          <w:lang w:eastAsia="sq-AL"/>
        </w:rPr>
        <w:lastRenderedPageBreak/>
        <w:t xml:space="preserve">nr.2001/35 për Pensione në Republikën e Kosovës dhe Rregulloren nr.2002/15 mbi Metodologjinë e Caktimit të Lartësisë së Pensionit Bazë. Po ashtu, gjykata konstaton se paditësja këtë pension e ka realizuar krahas pensionit të Familjeve të Viktimave Civile i cili i ishte njohur paditëses nga data 01.10.2002, ngase është konstatuar se kërkesa e paditëses është bazuar konform nenit 5 par.1.1.3 dhe nenit 13 të Ligjit nr.04/L-054 për Statusin dhe të Drejtat e Dëshmorëve, Invalidëve, Veteranëve, Pjesëtarëve të UÇK-së dhe Familjeve të Viktimave Civile. </w:t>
      </w:r>
    </w:p>
    <w:p w14:paraId="46EE3C00" w14:textId="77777777" w:rsidR="009632AC" w:rsidRPr="001054E8" w:rsidRDefault="009632AC" w:rsidP="009632AC">
      <w:pPr>
        <w:jc w:val="both"/>
        <w:rPr>
          <w:lang w:eastAsia="sq-AL"/>
        </w:rPr>
      </w:pPr>
    </w:p>
    <w:p w14:paraId="3C80AF21" w14:textId="77777777" w:rsidR="009632AC" w:rsidRPr="001054E8" w:rsidRDefault="009632AC" w:rsidP="009632AC">
      <w:pPr>
        <w:jc w:val="both"/>
        <w:rPr>
          <w:lang w:eastAsia="sq-AL"/>
        </w:rPr>
      </w:pPr>
      <w:r w:rsidRPr="001054E8">
        <w:rPr>
          <w:lang w:eastAsia="sq-AL"/>
        </w:rPr>
        <w:t xml:space="preserve">Gjykata thekson se e paditura pensionin e moshës i ka ndërprerë paditëses me datë 14.09.2016, fakt ky i cili provohet nga vendimi i kontestuar, me arsyetimin se, e njëjta është përfituese e të drejtës në pension të Familjeve të Viktimave Civile të Luftës andaj kjo është bazë e mjaftueshme për pezullimin e pagesës së pensionit bazë, duke i thirrur në nenin 16 të Ligjit nr.04/L-131 për Skemat Pensionale të Financuara nga Shteti. Duke vepruar në këtë mënyrë, gjykata vlerëson se e paditura nuk ka aplikuar drejt dispozitat e Ligjit nr.04/L-131 për Skemat Pensionale të Financuara nga Shteti, të Ligjit nr.04/L-054 për Statusin dhe të Drejtat e Dëshmorëve, Invalidëve, Veteranëve, Pjesëtarëve të UÇK-së dhe Familjeve të Viktimave Civile, dhe të </w:t>
      </w:r>
      <w:r w:rsidRPr="001054E8">
        <w:t>Ligjit për Procedurën e Përgjithshme Administrative nr.05/L-031</w:t>
      </w:r>
      <w:r w:rsidRPr="001054E8">
        <w:rPr>
          <w:lang w:eastAsia="sq-AL"/>
        </w:rPr>
        <w:t>, por ka cenuar ligjin në dëm të paditëses.</w:t>
      </w:r>
    </w:p>
    <w:p w14:paraId="2FCB6ABE" w14:textId="77777777" w:rsidR="009632AC" w:rsidRPr="001054E8" w:rsidRDefault="009632AC" w:rsidP="009632AC">
      <w:pPr>
        <w:jc w:val="both"/>
        <w:rPr>
          <w:lang w:eastAsia="sq-AL"/>
        </w:rPr>
      </w:pPr>
    </w:p>
    <w:p w14:paraId="29CAC820" w14:textId="77777777" w:rsidR="009632AC" w:rsidRPr="001054E8" w:rsidRDefault="009632AC" w:rsidP="009632AC">
      <w:pPr>
        <w:jc w:val="both"/>
      </w:pPr>
      <w:r w:rsidRPr="001054E8">
        <w:rPr>
          <w:bCs/>
        </w:rPr>
        <w:t xml:space="preserve">Gjykata konstaton se me Ligjin për Skemat Pensionale rregullohen dhe përcaktohen; </w:t>
      </w:r>
      <w:r w:rsidRPr="001054E8">
        <w:rPr>
          <w:rFonts w:eastAsiaTheme="minorHAnsi"/>
          <w:color w:val="191919"/>
        </w:rPr>
        <w:t>pensionet bazike të moshës, pensionet kontribut pagues të moshës, pensionet e aftësisë së kufizuar,</w:t>
      </w:r>
      <w:r w:rsidRPr="001054E8">
        <w:rPr>
          <w:bCs/>
        </w:rPr>
        <w:t xml:space="preserve"> </w:t>
      </w:r>
      <w:r w:rsidRPr="001054E8">
        <w:rPr>
          <w:rFonts w:eastAsiaTheme="minorHAnsi"/>
          <w:color w:val="191919"/>
        </w:rPr>
        <w:t>pensionet e parakohshme, pensionet familjare dhe pensionet invalidore të punës, si pensione të Shtyllës</w:t>
      </w:r>
      <w:r w:rsidRPr="001054E8">
        <w:rPr>
          <w:bCs/>
        </w:rPr>
        <w:t xml:space="preserve"> </w:t>
      </w:r>
      <w:r w:rsidRPr="001054E8">
        <w:rPr>
          <w:rFonts w:eastAsiaTheme="minorHAnsi"/>
          <w:color w:val="191919"/>
        </w:rPr>
        <w:t xml:space="preserve">së I-rë të financuara nga shteti dhe kjo shprehimisht përcaktohet me dispozitat e nenit 1 par.1 pika 1.1 të Ligjit </w:t>
      </w:r>
      <w:r w:rsidRPr="001054E8">
        <w:t xml:space="preserve">nr.04/L-131 për Skemat Pensionale të Financuara nga Shteti, kurse me dispozitat e Ligjit nr.Nr.04/L-054 për Statusin dhe të Drejtat e Dëshmorëve, Invalidëve, Veteranëve, Pjesëtareve të Ushtrisë Çlirimtare të Kosovës, Viktimave Civile dhe Familjeve të tyre përcaktohet statusi dhe përkrahja e pensioneve dhe beneficioneve të veçanta për kategoritë e dala nga lufta e UÇK-së, të cilat me sakrificën dhe kontributin e tyre ishin faktorë vendimtarë për lirinë dhe çlirimin e vendit, e ku në mesin e tyre përfshihet edhe e drejta në pension të Familjeve të Viktimave Civile të Luftës, të cilin paditësja e ka realizuar që nga data 01.10.2022, gjithnjë sipas vendimit të lëshuar nga vet e paditura të datës 26.12.2023. Në këtë drejtim gjykata vlerëson se e paditura ka zbatuar në mënyrë të gabuar dhe jo të drejt dispozitat ligjore në fuqi, respektivisht dispozitat e Ligjit nr.04/L-131 për Skemat Pensionale të Financuara nga Shteti, duke përfshirë nenin 16, të këtij ligji, ku është mbështetur, me rastin e refuzimit të kërkesës së paditëses për ekzekutimin e pagesës së pensionit bazik të moshës, me arsyetimin se e njëjta është përfituese e të drejtës në pension të Familjeve të Viktimave Civile të Luftës, për shkak se, paditësja në rastin konkret të drejtën në pension nga skema Familje e Viktimave Civile të Luftës, e ka realizuar bazuar në kriteret ligjore të përcaktuara me dispozitat e Ligjit  Nr.04/L-054 për Statusin dhe të Drejtat e Dëshmorëve, Invalidëve, Veteranëve, Pjesëtareve të Ushtrisë Çlirimtare të Kosovës, Viktimave Civile dhe Familjeve të tyre sipas vendimit ttë nxjerr nga organi i paditur dhe se me dispozitën e nenit 23 par.1 të këtij ligji shprehimisht është paraparë se </w:t>
      </w:r>
      <w:r w:rsidRPr="001054E8">
        <w:rPr>
          <w:i/>
        </w:rPr>
        <w:t xml:space="preserve">“2. Shfrytëzuesit e pensionit bazë, mund të realizojnë të gjitha të drejtat dhe benificionet e përcaktuara me këtë ligj, nëse i përmbushin kushtet dhe kriteret sipas dispozitave të këtij ligji”. </w:t>
      </w:r>
      <w:r w:rsidRPr="001054E8">
        <w:t xml:space="preserve">Pra, nga kjo dispozitë ligjore qartë kuptohet se shfrytëzuesit e pensionit bazë, siç është rasti me pensionin bazik të moshës të paditëses të miratuar nga e paditura me vendimin e datës 06.08.2013, mund të realizojnë të gjitha të drejtat dhe benificionet e përcaktuara me këtë ligj, nëse i përmbushin kushtet dhe kriteret sipas dispozitave të këtij ligji. Për më tepër gjykata thekson se kjo dispozitë ligjore është “lex specialis” në fuqi dhe e njëjta nuk është shfuqizuar me Ligjin nr.04/L-131 për Skemat Pensionale të Financuara nga Shteti, respektivisht nenin 27 të tij, ku janë përcaktuar dispozitat ligjore të cilat shfuqizohen me hyrjen në fuqi të këtij ligji. </w:t>
      </w:r>
    </w:p>
    <w:p w14:paraId="636C49F1" w14:textId="77777777" w:rsidR="009632AC" w:rsidRPr="001054E8" w:rsidRDefault="009632AC" w:rsidP="009632AC">
      <w:pPr>
        <w:rPr>
          <w:lang w:eastAsia="sq-AL"/>
        </w:rPr>
      </w:pPr>
    </w:p>
    <w:p w14:paraId="4C5D85FB" w14:textId="77777777" w:rsidR="009632AC" w:rsidRPr="001054E8" w:rsidRDefault="009632AC" w:rsidP="009632AC">
      <w:pPr>
        <w:jc w:val="both"/>
      </w:pPr>
      <w:r w:rsidRPr="001054E8">
        <w:rPr>
          <w:rFonts w:eastAsia="Arial Unicode MS"/>
          <w:color w:val="000000"/>
        </w:rPr>
        <w:lastRenderedPageBreak/>
        <w:t xml:space="preserve">Gjykata bazuar në këtë situatë faktike, vlerëson </w:t>
      </w:r>
      <w:r w:rsidRPr="001054E8">
        <w:rPr>
          <w:rFonts w:eastAsia="Arial Unicode MS"/>
        </w:rPr>
        <w:t>në rastin konkret përfundimisht e paditura nuk ka aplikuar drejt dispozitat</w:t>
      </w:r>
      <w:r w:rsidRPr="001054E8">
        <w:t xml:space="preserve"> nr.04/L-131 për Skemat Pensionale të Financuara nga Shteti dhe të Ligjit nr.Nr.04/L-054 për Statusin dhe të Drejtat e Dëshmorëve, Invalidëve, Veteranëve, Pjesëtareve të Ushtrisë Çlirimtare të Kosovës, Viktimave Civile dhe Familjeve të tyre, pasi që i ka ndërprerë paditëses të drejtën në pension bazik të moshës, pension të cilin paditësja e kishte realizuar nga data 05.08.2013 e deri me datë 14.09.2016, kur e paditura i ka ndërprerë. Kjo për faktin se, paditësja në bazë të dispozitave ligjore të referuara i ka plotësuar të gjitha kushtet ligjore që të realizoj të drejtën në pension të Familjeve të Viktimave Civile të Luftës dhe të drejtën në pension bazik të moshës, të drejta këto të cilat janë rregulluar me ligje të veçanta, e ku parashihen kushte të veçanta për realizimin e tyre dhe se nuk ka asnjë bazë ligjore që paditësja në rastin konkret të privohet nga e drejta në pension bazik të moshës, siç ka vepruar e paditura në rastin e paditëses kur i ka ndërprerë këtë pension.  </w:t>
      </w:r>
    </w:p>
    <w:p w14:paraId="3AE9C972" w14:textId="77777777" w:rsidR="009632AC" w:rsidRPr="001054E8" w:rsidRDefault="009632AC" w:rsidP="009632AC">
      <w:pPr>
        <w:jc w:val="both"/>
        <w:rPr>
          <w:lang w:eastAsia="sq-AL"/>
        </w:rPr>
      </w:pPr>
    </w:p>
    <w:p w14:paraId="35E1FD65" w14:textId="77777777" w:rsidR="009632AC" w:rsidRPr="001054E8" w:rsidRDefault="009632AC" w:rsidP="009632AC">
      <w:pPr>
        <w:jc w:val="both"/>
        <w:rPr>
          <w:lang w:eastAsia="sq-AL"/>
        </w:rPr>
      </w:pPr>
      <w:r w:rsidRPr="001054E8">
        <w:t>Gjykata thekson edhe Gjykata e Apelit e Kosovës në një rast të ngjashëm për çështjen e dy pensioneve të rregulluara me ligje të veçanta si në këtë rast, me aktgjykimin AA.nr..353/2020 të datës 28.05.2021 e ka refuzuar ankesën e këtu të paditurës si të pa bazuar dhe e ka vërtetuar aktgjykimin e gjykatës së shkallës së parë me të cilin paditësit i ishte njohur e drejta e pensionit kontribut pagues të moshës krahas atij të invalidit civil të luftës, kurse Gjykata Supreme e Kosovës me aktgjykimin ARJ.nr.77/2021 të datës 11.08.2021, e ka refuzuar si të pa bazuar kërkesën për ri shqyrtim të paditurës të paraqitur kundër aktgjykimit të Gjykatës së Apelit të Kosovës.</w:t>
      </w:r>
    </w:p>
    <w:p w14:paraId="39C2E382" w14:textId="77777777" w:rsidR="009632AC" w:rsidRPr="001054E8" w:rsidRDefault="009632AC" w:rsidP="009632AC">
      <w:pPr>
        <w:jc w:val="both"/>
        <w:rPr>
          <w:lang w:eastAsia="sq-AL"/>
        </w:rPr>
      </w:pPr>
    </w:p>
    <w:p w14:paraId="049EC793" w14:textId="77777777" w:rsidR="009632AC" w:rsidRPr="001054E8" w:rsidRDefault="009632AC" w:rsidP="009632AC">
      <w:pPr>
        <w:jc w:val="both"/>
      </w:pPr>
      <w:r w:rsidRPr="001054E8">
        <w:rPr>
          <w:color w:val="000000" w:themeColor="text1"/>
        </w:rPr>
        <w:t>Nga një gjendje e tillë e çështjes, gjykata përfundimisht vlerëson se paditëses i takon e drejta n</w:t>
      </w:r>
      <w:r w:rsidRPr="001054E8">
        <w:rPr>
          <w:bCs/>
          <w:color w:val="000000" w:themeColor="text1"/>
        </w:rPr>
        <w:t>ë</w:t>
      </w:r>
      <w:r w:rsidRPr="001054E8">
        <w:t xml:space="preserve"> pension bazik të moshës nga data e ndërprerjes nga e paditura 14.09.2016, sipas vendimit të datës 06.08.2013, kohë kur e paditura i ka njohur paditëses këtë pension, prandaj gjykata në dispozitivin II të këtij aktgjykimi e anuloj si i kundërligjshëm vendimin me nr. të dosjes 236695 të datës 27.12.2023 të Ministrisë së Financave, Punës dhe Transfereve-Departamenti i Pensioneve dhe paditëses i njohu të drejtën në pension bazik të moshës nga data 14.09.2016, sipas vendimit të nxjerr nga e paditura të datës 06.08.2013, kurse në dispozitivin III të aktgjykimit gjykata e detyroj të paditurën </w:t>
      </w:r>
      <w:r w:rsidRPr="001054E8">
        <w:rPr>
          <w:bCs/>
        </w:rPr>
        <w:t xml:space="preserve">që </w:t>
      </w:r>
      <w:r w:rsidRPr="001054E8">
        <w:t xml:space="preserve">paditëses, në emër të kompensimit retroaktiv për pensionin bazik të moshës nga data 14.09.2016 deri me datë 31.12.2018, t’ia paguaj shumën mujore për këtë pension në vlerë prej 70€ (gjykata konstaton se në këtë periudhë lartësia e pensionit bazik të moshës ka qenë 75€ në muaj mirëpo me parashtresën për plotësim të padisë të datës 11.11.2024 paditësja për këtë periudhë e ka kërkuar shumën mujore prej 70€ andaj gjykata këtë lartësi e aprovoj), nga data 01.01.2019 e deri me </w:t>
      </w:r>
      <w:r w:rsidRPr="001054E8">
        <w:rPr>
          <w:color w:val="000000" w:themeColor="text1"/>
        </w:rPr>
        <w:t>datë 31.12.2021,</w:t>
      </w:r>
      <w:r w:rsidRPr="001054E8">
        <w:t xml:space="preserve"> t’ia paguaj shumën mujore prej 90€, nga data 01.01.2022 e deri me datë 10.10.2024, t’ia paguaj shumën mujore prej 100€, si dhe nga data 11.10.2024 e deri në ekzistimin e kushteve ligjore për njohjen dhe pagesën e këtij pensioni, t’ia paguaj paditëses shumën mujore prej 120€, respektivisht për të ardhmen paditëses t’ia paguaj shumën e aplikueshme për këtë lloj pensioni. Gjykata këtë vendimmarrje sa i përket lartësisë së pensionit bazik të moshës e bazoj në lartësinë e këtij pensioni ndër vite të caktuar me vendimet e Qeverisë së Republikës së Kosovës, duke filluar nga vendimi i fundit i Qeverisë së Republikës së Kosovës me nr.05/54 të datës 12.01.2022, ku lartësia e pensionit bazik të moshës nga data 11.10.2024 është caktuar në shumë prej 120€, Vendimi me nr.03/90 i datës 19.02.2019 i Qeverisë së Republikës së Kosovës ku lartësia e pensionit bazik të moshës ishte rritur 20%, respektivisht nga shuma mujore 75€ në shumën prej 90€, nga 01.01.2019, Vendimi me nr.01/176 i datës 10.03.2014, ku pension bazik i moshës nga shuma prej 60€ është rritur prej 25% apo në shumën prej 75€ nga data 01.04.2014. </w:t>
      </w:r>
    </w:p>
    <w:p w14:paraId="5A5B019B" w14:textId="77777777" w:rsidR="009632AC" w:rsidRPr="001054E8" w:rsidRDefault="009632AC" w:rsidP="009632AC">
      <w:pPr>
        <w:jc w:val="both"/>
      </w:pPr>
    </w:p>
    <w:p w14:paraId="705981C7" w14:textId="77777777" w:rsidR="009632AC" w:rsidRPr="001054E8" w:rsidRDefault="009632AC" w:rsidP="009632AC">
      <w:pPr>
        <w:jc w:val="both"/>
      </w:pPr>
      <w:r w:rsidRPr="001054E8">
        <w:t>Vendimin që secila palë t’i bartë shpenzimet e procedurës, gjykata e ka mbështetur në dispozitat e nenit 64 t</w:t>
      </w:r>
      <w:r w:rsidRPr="001054E8">
        <w:rPr>
          <w:bCs/>
        </w:rPr>
        <w:t>ë</w:t>
      </w:r>
      <w:r w:rsidRPr="001054E8">
        <w:t xml:space="preserve"> LKA-së nr.03/L-202 për Konfliktet Administrative.</w:t>
      </w:r>
    </w:p>
    <w:p w14:paraId="34D4B3C4" w14:textId="77777777" w:rsidR="009632AC" w:rsidRPr="001054E8" w:rsidRDefault="009632AC" w:rsidP="009632AC">
      <w:pPr>
        <w:jc w:val="both"/>
        <w:rPr>
          <w:lang w:eastAsia="sq-AL"/>
        </w:rPr>
      </w:pPr>
    </w:p>
    <w:p w14:paraId="5F01456F" w14:textId="77777777" w:rsidR="009632AC" w:rsidRPr="001054E8" w:rsidRDefault="009632AC" w:rsidP="009632AC">
      <w:pPr>
        <w:jc w:val="both"/>
        <w:rPr>
          <w:rFonts w:eastAsia="Times New Roman"/>
          <w:lang w:eastAsia="sq-AL"/>
        </w:rPr>
      </w:pPr>
      <w:r w:rsidRPr="001054E8">
        <w:rPr>
          <w:rFonts w:eastAsia="Times New Roman"/>
          <w:lang w:eastAsia="sq-AL"/>
        </w:rPr>
        <w:t>Nga se u parashtrua më lartë, e konform dispozitave të nenit 63 të Ligjit për Konfliktet Administrative nr.03/L202 dhe neneve 143 dhe 152 të LPK-së, gjykata vendosi si në dispozitiv të këtij aktgjykimi.</w:t>
      </w:r>
    </w:p>
    <w:p w14:paraId="4ED1AE5B" w14:textId="77777777" w:rsidR="009632AC" w:rsidRPr="001054E8" w:rsidRDefault="009632AC" w:rsidP="009632AC">
      <w:pPr>
        <w:jc w:val="both"/>
        <w:rPr>
          <w:rFonts w:eastAsia="Times New Roman"/>
          <w:lang w:eastAsia="sq-AL"/>
        </w:rPr>
      </w:pPr>
    </w:p>
    <w:p w14:paraId="5D1ABCA3" w14:textId="77777777" w:rsidR="009632AC" w:rsidRPr="001054E8" w:rsidRDefault="009632AC" w:rsidP="009632AC">
      <w:pPr>
        <w:ind w:right="-360"/>
        <w:jc w:val="center"/>
        <w:outlineLvl w:val="0"/>
        <w:rPr>
          <w:b/>
        </w:rPr>
      </w:pPr>
      <w:r w:rsidRPr="001054E8">
        <w:rPr>
          <w:b/>
        </w:rPr>
        <w:t>GJYKATA THEMELORE NË PRISHTINË</w:t>
      </w:r>
    </w:p>
    <w:p w14:paraId="65C3A26A" w14:textId="77777777" w:rsidR="009632AC" w:rsidRPr="001054E8" w:rsidRDefault="009632AC" w:rsidP="009632AC">
      <w:pPr>
        <w:ind w:right="-360"/>
        <w:jc w:val="center"/>
        <w:outlineLvl w:val="0"/>
        <w:rPr>
          <w:b/>
        </w:rPr>
      </w:pPr>
      <w:r w:rsidRPr="001054E8">
        <w:rPr>
          <w:b/>
        </w:rPr>
        <w:t>Departamenti për Çështje Administrative</w:t>
      </w:r>
    </w:p>
    <w:p w14:paraId="1D3A9740" w14:textId="77777777" w:rsidR="009632AC" w:rsidRPr="001054E8" w:rsidRDefault="009632AC" w:rsidP="009632AC">
      <w:pPr>
        <w:ind w:right="-360"/>
        <w:jc w:val="center"/>
        <w:rPr>
          <w:b/>
        </w:rPr>
      </w:pPr>
      <w:r w:rsidRPr="001054E8">
        <w:rPr>
          <w:b/>
        </w:rPr>
        <w:t>A.nr.7/2024, datë 20.12.2024</w:t>
      </w:r>
    </w:p>
    <w:p w14:paraId="6BC92473" w14:textId="77777777" w:rsidR="009632AC" w:rsidRPr="001054E8" w:rsidRDefault="009632AC" w:rsidP="009632AC">
      <w:pPr>
        <w:ind w:right="-360"/>
        <w:jc w:val="center"/>
        <w:rPr>
          <w:b/>
        </w:rPr>
      </w:pPr>
    </w:p>
    <w:p w14:paraId="1E884471" w14:textId="77777777" w:rsidR="009632AC" w:rsidRPr="001054E8" w:rsidRDefault="009632AC" w:rsidP="009632AC">
      <w:pPr>
        <w:rPr>
          <w:rFonts w:eastAsia="Times New Roman"/>
          <w:b/>
          <w:lang w:eastAsia="sq-AL"/>
        </w:rPr>
      </w:pPr>
      <w:r w:rsidRPr="001054E8">
        <w:rPr>
          <w:rFonts w:eastAsia="Times New Roman"/>
          <w:b/>
          <w:lang w:eastAsia="sq-AL"/>
        </w:rPr>
        <w:t xml:space="preserve">                                                                                                                          G j y q t a r i</w:t>
      </w:r>
    </w:p>
    <w:p w14:paraId="6CB675D8" w14:textId="77777777" w:rsidR="009632AC" w:rsidRPr="001054E8" w:rsidRDefault="009632AC" w:rsidP="009632AC">
      <w:pPr>
        <w:rPr>
          <w:rFonts w:eastAsia="Times New Roman"/>
          <w:b/>
          <w:i/>
          <w:lang w:eastAsia="sq-AL"/>
        </w:rPr>
      </w:pPr>
      <w:r w:rsidRPr="001054E8">
        <w:rPr>
          <w:rFonts w:eastAsia="Times New Roman"/>
          <w:lang w:eastAsia="sq-AL"/>
        </w:rPr>
        <w:t xml:space="preserve"> </w:t>
      </w:r>
      <w:r w:rsidRPr="001054E8">
        <w:rPr>
          <w:rFonts w:eastAsia="Times New Roman"/>
          <w:lang w:eastAsia="sq-AL"/>
        </w:rPr>
        <w:tab/>
      </w:r>
      <w:r w:rsidRPr="001054E8">
        <w:rPr>
          <w:rFonts w:eastAsia="Times New Roman"/>
          <w:lang w:eastAsia="sq-AL"/>
        </w:rPr>
        <w:tab/>
      </w:r>
      <w:r w:rsidRPr="001054E8">
        <w:rPr>
          <w:rFonts w:eastAsia="Times New Roman"/>
          <w:lang w:eastAsia="sq-AL"/>
        </w:rPr>
        <w:tab/>
      </w:r>
      <w:r w:rsidRPr="001054E8">
        <w:rPr>
          <w:rFonts w:eastAsia="Times New Roman"/>
          <w:lang w:eastAsia="sq-AL"/>
        </w:rPr>
        <w:tab/>
      </w:r>
      <w:r w:rsidRPr="001054E8">
        <w:rPr>
          <w:rFonts w:eastAsia="Times New Roman"/>
          <w:lang w:eastAsia="sq-AL"/>
        </w:rPr>
        <w:tab/>
      </w:r>
      <w:r w:rsidRPr="001054E8">
        <w:rPr>
          <w:rFonts w:eastAsia="Times New Roman"/>
          <w:lang w:eastAsia="sq-AL"/>
        </w:rPr>
        <w:tab/>
      </w:r>
      <w:r w:rsidRPr="001054E8">
        <w:rPr>
          <w:rFonts w:eastAsia="Times New Roman"/>
          <w:lang w:eastAsia="sq-AL"/>
        </w:rPr>
        <w:tab/>
      </w:r>
      <w:r w:rsidRPr="001054E8">
        <w:rPr>
          <w:rFonts w:eastAsia="Times New Roman"/>
          <w:lang w:eastAsia="sq-AL"/>
        </w:rPr>
        <w:tab/>
      </w:r>
      <w:r w:rsidRPr="001054E8">
        <w:rPr>
          <w:rFonts w:eastAsia="Times New Roman"/>
          <w:lang w:eastAsia="sq-AL"/>
        </w:rPr>
        <w:tab/>
        <w:t xml:space="preserve">              Rexhep Gashi </w:t>
      </w:r>
    </w:p>
    <w:p w14:paraId="2ED3D4A8" w14:textId="77777777" w:rsidR="009632AC" w:rsidRPr="001054E8" w:rsidRDefault="009632AC" w:rsidP="009632AC">
      <w:pPr>
        <w:rPr>
          <w:rFonts w:eastAsia="Times New Roman"/>
          <w:b/>
          <w:i/>
          <w:lang w:eastAsia="sq-AL"/>
        </w:rPr>
      </w:pPr>
    </w:p>
    <w:p w14:paraId="0F920E2C" w14:textId="77777777" w:rsidR="009632AC" w:rsidRPr="001054E8" w:rsidRDefault="009632AC" w:rsidP="009632AC">
      <w:pPr>
        <w:tabs>
          <w:tab w:val="left" w:pos="7146"/>
        </w:tabs>
        <w:rPr>
          <w:rFonts w:eastAsia="Times New Roman"/>
          <w:lang w:eastAsia="sq-AL"/>
        </w:rPr>
      </w:pPr>
      <w:r w:rsidRPr="001054E8">
        <w:rPr>
          <w:rFonts w:eastAsia="Times New Roman"/>
          <w:b/>
          <w:i/>
          <w:lang w:eastAsia="sq-AL"/>
        </w:rPr>
        <w:tab/>
        <w:t xml:space="preserve">   </w:t>
      </w:r>
      <w:r w:rsidRPr="001054E8">
        <w:rPr>
          <w:rFonts w:eastAsia="Times New Roman"/>
          <w:lang w:eastAsia="sq-AL"/>
        </w:rPr>
        <w:t>____________</w:t>
      </w:r>
    </w:p>
    <w:p w14:paraId="713658FE" w14:textId="77777777" w:rsidR="009632AC" w:rsidRPr="001054E8" w:rsidRDefault="009632AC" w:rsidP="009632AC">
      <w:pPr>
        <w:rPr>
          <w:rFonts w:eastAsia="Times New Roman"/>
          <w:b/>
          <w:i/>
          <w:lang w:eastAsia="sq-AL"/>
        </w:rPr>
      </w:pPr>
    </w:p>
    <w:p w14:paraId="4D00EC27" w14:textId="77777777" w:rsidR="009632AC" w:rsidRPr="001054E8" w:rsidRDefault="009632AC" w:rsidP="009632AC">
      <w:pPr>
        <w:rPr>
          <w:rFonts w:eastAsia="Times New Roman"/>
          <w:b/>
          <w:i/>
          <w:lang w:eastAsia="sq-AL"/>
        </w:rPr>
      </w:pPr>
    </w:p>
    <w:p w14:paraId="377072F4" w14:textId="77777777" w:rsidR="009632AC" w:rsidRPr="001054E8" w:rsidRDefault="009632AC" w:rsidP="009632AC">
      <w:pPr>
        <w:rPr>
          <w:rFonts w:eastAsia="Times New Roman"/>
          <w:b/>
          <w:lang w:eastAsia="sq-AL"/>
        </w:rPr>
      </w:pPr>
    </w:p>
    <w:p w14:paraId="6FF6CBDC" w14:textId="77777777" w:rsidR="009632AC" w:rsidRPr="001054E8" w:rsidRDefault="009632AC" w:rsidP="009632AC">
      <w:pPr>
        <w:jc w:val="both"/>
        <w:rPr>
          <w:rFonts w:eastAsia="Times New Roman"/>
          <w:b/>
          <w:lang w:eastAsia="sq-AL"/>
        </w:rPr>
      </w:pPr>
    </w:p>
    <w:p w14:paraId="69F7B33A" w14:textId="77777777" w:rsidR="001A1ED3" w:rsidRPr="001054E8" w:rsidRDefault="009632AC" w:rsidP="009632AC">
      <w:pPr>
        <w:jc w:val="both"/>
        <w:rPr>
          <w:rFonts w:eastAsia="Times New Roman"/>
          <w:lang w:eastAsia="sq-AL"/>
        </w:rPr>
      </w:pPr>
      <w:r w:rsidRPr="001054E8">
        <w:rPr>
          <w:rFonts w:eastAsia="Times New Roman"/>
          <w:b/>
          <w:lang w:eastAsia="sq-AL"/>
        </w:rPr>
        <w:t>KËSHILLË JURIDIKE:</w:t>
      </w:r>
      <w:r w:rsidRPr="001054E8">
        <w:rPr>
          <w:rFonts w:eastAsia="Times New Roman"/>
          <w:lang w:eastAsia="sq-AL"/>
        </w:rPr>
        <w:t xml:space="preserve"> Kundër këtij aktgjykimi pala e pakënaqur ka të drejtë ankese në afat prej 15 ditësh, nga dita e marrjes së të njëjtit, në Gjykatën e Apelit të Kosovës në Prishtinë, përmes kësaj Gjykate</w:t>
      </w:r>
      <w:bookmarkEnd w:id="5"/>
      <w:r w:rsidRPr="001054E8">
        <w:rPr>
          <w:rFonts w:eastAsia="Times New Roman"/>
          <w:lang w:eastAsia="sq-AL"/>
        </w:rPr>
        <w:t>.</w:t>
      </w:r>
    </w:p>
    <w:p w14:paraId="5EA39F18" w14:textId="77777777" w:rsidR="001A1ED3" w:rsidRPr="001054E8" w:rsidRDefault="001A1ED3" w:rsidP="00731283">
      <w:pPr>
        <w:jc w:val="both"/>
      </w:pPr>
    </w:p>
    <w:p w14:paraId="461B528E" w14:textId="77777777" w:rsidR="001A1ED3" w:rsidRPr="001054E8" w:rsidRDefault="001A1ED3" w:rsidP="00731283">
      <w:pPr>
        <w:jc w:val="both"/>
      </w:pPr>
    </w:p>
    <w:p w14:paraId="213AEE93" w14:textId="77777777" w:rsidR="001A1ED3" w:rsidRPr="001054E8" w:rsidRDefault="001A1ED3" w:rsidP="00731283">
      <w:pPr>
        <w:jc w:val="both"/>
      </w:pPr>
    </w:p>
    <w:p w14:paraId="6CDF40D6" w14:textId="77777777" w:rsidR="001A1ED3" w:rsidRPr="001054E8" w:rsidRDefault="001A1ED3" w:rsidP="00731283">
      <w:pPr>
        <w:jc w:val="both"/>
      </w:pPr>
    </w:p>
    <w:p w14:paraId="4BC73DDD" w14:textId="77777777" w:rsidR="001A1ED3" w:rsidRPr="001054E8" w:rsidRDefault="001A1ED3" w:rsidP="00731283">
      <w:pPr>
        <w:jc w:val="both"/>
      </w:pPr>
    </w:p>
    <w:p w14:paraId="359D2552" w14:textId="77777777" w:rsidR="001A1ED3" w:rsidRPr="001054E8" w:rsidRDefault="001A1ED3" w:rsidP="00731283">
      <w:pPr>
        <w:jc w:val="both"/>
      </w:pPr>
    </w:p>
    <w:p w14:paraId="68AD930D" w14:textId="77777777" w:rsidR="001A1ED3" w:rsidRPr="001054E8" w:rsidRDefault="001A1ED3" w:rsidP="00731283">
      <w:pPr>
        <w:jc w:val="both"/>
      </w:pPr>
    </w:p>
    <w:p w14:paraId="65EF58E0" w14:textId="77777777" w:rsidR="001A1ED3" w:rsidRPr="001054E8" w:rsidRDefault="001A1ED3" w:rsidP="00731283">
      <w:pPr>
        <w:jc w:val="both"/>
      </w:pPr>
    </w:p>
    <w:p w14:paraId="2A316C95" w14:textId="77777777" w:rsidR="001A1ED3" w:rsidRPr="001054E8" w:rsidRDefault="001A1ED3" w:rsidP="00731283">
      <w:pPr>
        <w:jc w:val="both"/>
      </w:pPr>
    </w:p>
    <w:p w14:paraId="451F567D" w14:textId="77777777" w:rsidR="001A1ED3" w:rsidRPr="001054E8" w:rsidRDefault="001A1ED3" w:rsidP="00731283">
      <w:pPr>
        <w:jc w:val="both"/>
      </w:pPr>
    </w:p>
    <w:p w14:paraId="5E45C264" w14:textId="77777777" w:rsidR="001A1ED3" w:rsidRPr="001054E8" w:rsidRDefault="001A1ED3" w:rsidP="00731283">
      <w:pPr>
        <w:jc w:val="both"/>
      </w:pPr>
    </w:p>
    <w:p w14:paraId="353F4D05" w14:textId="77777777" w:rsidR="001A1ED3" w:rsidRPr="001054E8" w:rsidRDefault="001A1ED3" w:rsidP="00731283">
      <w:pPr>
        <w:jc w:val="both"/>
      </w:pPr>
    </w:p>
    <w:p w14:paraId="587A98B9" w14:textId="77777777" w:rsidR="000B444F" w:rsidRPr="001054E8" w:rsidRDefault="000B444F" w:rsidP="001A1ED3"/>
    <w:sectPr w:rsidR="000B444F" w:rsidRPr="001054E8"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A058" w14:textId="77777777" w:rsidR="008B530A" w:rsidRDefault="008B530A" w:rsidP="004369F3">
      <w:r>
        <w:separator/>
      </w:r>
    </w:p>
  </w:endnote>
  <w:endnote w:type="continuationSeparator" w:id="0">
    <w:p w14:paraId="7B6D3E66" w14:textId="77777777" w:rsidR="008B530A" w:rsidRDefault="008B530A"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AEAF"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4E3B16F2" wp14:editId="4BEC3168">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2EAA5"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2024:001719</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B16F2"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24F2EAA5"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2024:001719</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1054E8">
          <w:rPr>
            <w:noProof/>
          </w:rPr>
          <w:t>8</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1054E8">
      <w:rPr>
        <w:noProof/>
      </w:rPr>
      <w:t>8</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4B51" w14:textId="77777777"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6CB218F7" wp14:editId="0774BFE8">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13A03"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2024:001719</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218F7"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77113A03"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2024:001719</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1054E8">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1054E8">
      <w:rPr>
        <w:noProof/>
      </w:rPr>
      <w:t>8</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A6BB5" w14:textId="77777777" w:rsidR="008B530A" w:rsidRDefault="008B530A" w:rsidP="004369F3">
      <w:r>
        <w:separator/>
      </w:r>
    </w:p>
  </w:footnote>
  <w:footnote w:type="continuationSeparator" w:id="0">
    <w:p w14:paraId="1EC1EFFE" w14:textId="77777777" w:rsidR="008B530A" w:rsidRDefault="008B530A"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C379"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2024:001718</w:t>
        </w:r>
      </w:sdtContent>
    </w:sdt>
  </w:p>
  <w:p w14:paraId="1786B6DA"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20.12.2024</w:t>
        </w:r>
      </w:sdtContent>
    </w:sdt>
  </w:p>
  <w:p w14:paraId="26217E06"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06634672</w:t>
        </w:r>
      </w:sdtContent>
    </w:sdt>
  </w:p>
  <w:p w14:paraId="6DEC61D3"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1A81C807" w14:textId="77777777" w:rsidTr="0081044C">
      <w:tc>
        <w:tcPr>
          <w:tcW w:w="9306" w:type="dxa"/>
          <w:shd w:val="clear" w:color="auto" w:fill="auto"/>
        </w:tcPr>
        <w:p w14:paraId="3049CE72" w14:textId="77777777" w:rsidR="00834178" w:rsidRDefault="001054E8"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3F304769" wp14:editId="3A305ED0">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14:paraId="576B7585" w14:textId="77777777" w:rsidTr="0081044C">
      <w:tc>
        <w:tcPr>
          <w:tcW w:w="9306" w:type="dxa"/>
          <w:shd w:val="clear" w:color="auto" w:fill="auto"/>
        </w:tcPr>
        <w:p w14:paraId="7FE37B7F"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5505B7DD" w14:textId="77777777" w:rsidR="00834178" w:rsidRDefault="00834178" w:rsidP="00834178">
          <w:pPr>
            <w:rPr>
              <w:lang w:val="sv-SE"/>
            </w:rPr>
          </w:pPr>
        </w:p>
      </w:tc>
    </w:tr>
    <w:tr w:rsidR="00355B2C" w:rsidRPr="00F40D4F" w14:paraId="4A2181B7" w14:textId="77777777" w:rsidTr="0081044C">
      <w:tc>
        <w:tcPr>
          <w:tcW w:w="9306" w:type="dxa"/>
          <w:shd w:val="clear" w:color="auto" w:fill="auto"/>
        </w:tcPr>
        <w:p w14:paraId="50886028" w14:textId="77777777" w:rsidR="002D659B" w:rsidRDefault="002D659B" w:rsidP="001A1ED3">
          <w:pPr>
            <w:pStyle w:val="Subtitle"/>
            <w:tabs>
              <w:tab w:val="left" w:pos="184"/>
              <w:tab w:val="left" w:pos="252"/>
              <w:tab w:val="center" w:pos="2198"/>
            </w:tabs>
            <w:spacing w:after="0"/>
          </w:pPr>
        </w:p>
        <w:p w14:paraId="1ADDCD81" w14:textId="77777777" w:rsidR="001A1ED3" w:rsidRPr="001A1ED3" w:rsidRDefault="008B530A" w:rsidP="001A1ED3">
          <w:pPr>
            <w:jc w:val="center"/>
          </w:pPr>
          <w:sdt>
            <w:sdtPr>
              <w:alias w:val="Emri i gjykates"/>
              <w:tag w:val="court.nameOfCourt"/>
              <w:id w:val="-594560568"/>
              <w:placeholder>
                <w:docPart w:val="4A98355CD564431CAE7B58E991C72C77"/>
              </w:placeholder>
              <w:text/>
            </w:sdtPr>
            <w:sdtEndPr/>
            <w:sdtContent>
              <w:r w:rsidR="001054E8">
                <w:t>GJYKATA THEMELORE PRISHTINË</w:t>
              </w:r>
            </w:sdtContent>
          </w:sdt>
        </w:p>
      </w:tc>
    </w:tr>
  </w:tbl>
  <w:p w14:paraId="027A17A2"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A0A"/>
    <w:multiLevelType w:val="hybridMultilevel"/>
    <w:tmpl w:val="4F92F014"/>
    <w:lvl w:ilvl="0" w:tplc="B4F823C8">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7"/>
  </w:num>
  <w:num w:numId="4">
    <w:abstractNumId w:val="5"/>
  </w:num>
  <w:num w:numId="5">
    <w:abstractNumId w:val="3"/>
  </w:num>
  <w:num w:numId="6">
    <w:abstractNumId w:val="6"/>
  </w:num>
  <w:num w:numId="7">
    <w:abstractNumId w:val="12"/>
  </w:num>
  <w:num w:numId="8">
    <w:abstractNumId w:val="10"/>
  </w:num>
  <w:num w:numId="9">
    <w:abstractNumId w:val="2"/>
  </w:num>
  <w:num w:numId="10">
    <w:abstractNumId w:val="14"/>
  </w:num>
  <w:num w:numId="11">
    <w:abstractNumId w:val="0"/>
  </w:num>
  <w:num w:numId="12">
    <w:abstractNumId w:val="9"/>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54E8"/>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3AE8"/>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37045"/>
    <w:rsid w:val="00840531"/>
    <w:rsid w:val="008472C8"/>
    <w:rsid w:val="00860EB4"/>
    <w:rsid w:val="00862145"/>
    <w:rsid w:val="00880C1A"/>
    <w:rsid w:val="008901FB"/>
    <w:rsid w:val="00890F47"/>
    <w:rsid w:val="00894496"/>
    <w:rsid w:val="008B530A"/>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498D"/>
    <w:rsid w:val="009556F8"/>
    <w:rsid w:val="00956418"/>
    <w:rsid w:val="009632AC"/>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4405CE"/>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27E5A"/>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0279"/>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118D2-ECCC-4AEA-975E-0A9C0E0B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4192</Words>
  <Characters>23898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Kaltrinë Kajtazaj</cp:lastModifiedBy>
  <cp:revision>3</cp:revision>
  <cp:lastPrinted>2013-07-17T08:22:00Z</cp:lastPrinted>
  <dcterms:created xsi:type="dcterms:W3CDTF">2025-03-28T09:01:00Z</dcterms:created>
  <dcterms:modified xsi:type="dcterms:W3CDTF">2025-03-28T09:04:00Z</dcterms:modified>
</cp:coreProperties>
</file>