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RPr="00F65880" w:rsidTr="00731283">
        <w:tc>
          <w:tcPr>
            <w:tcW w:w="2340" w:type="dxa"/>
          </w:tcPr>
          <w:p w:rsidR="001A1ED3" w:rsidRPr="00F65880" w:rsidRDefault="001A1ED3" w:rsidP="00731283">
            <w:pPr>
              <w:tabs>
                <w:tab w:val="right" w:pos="9498"/>
              </w:tabs>
              <w:spacing w:line="360" w:lineRule="auto"/>
              <w:rPr>
                <w:rFonts w:ascii="Georgia" w:hAnsi="Georgia"/>
                <w:b/>
              </w:rPr>
            </w:pPr>
            <w:r w:rsidRPr="00F65880">
              <w:rPr>
                <w:rFonts w:ascii="Georgia" w:hAnsi="Georgia"/>
              </w:rPr>
              <w:t>Numri i lëndës:</w:t>
            </w:r>
          </w:p>
        </w:tc>
        <w:tc>
          <w:tcPr>
            <w:tcW w:w="2250" w:type="dxa"/>
          </w:tcPr>
          <w:p w:rsidR="001A1ED3" w:rsidRPr="00F65880" w:rsidRDefault="00AD592A" w:rsidP="00731283">
            <w:pPr>
              <w:tabs>
                <w:tab w:val="right" w:pos="9498"/>
              </w:tabs>
              <w:spacing w:line="360" w:lineRule="auto"/>
              <w:rPr>
                <w:rFonts w:ascii="Georgia" w:hAnsi="Georgia"/>
                <w:b/>
              </w:rPr>
            </w:pPr>
            <w:sdt>
              <w:sdtPr>
                <w:rPr>
                  <w:rFonts w:ascii="Georgia" w:hAnsi="Georgia"/>
                </w:rPr>
                <w:alias w:val="UCN"/>
                <w:tag w:val="case.UniqueCaseNumber"/>
                <w:id w:val="-1427725562"/>
                <w:placeholder>
                  <w:docPart w:val="A3FAC91674364E709B999569989F0D8D"/>
                </w:placeholder>
                <w:text/>
              </w:sdtPr>
              <w:sdtEndPr/>
              <w:sdtContent>
                <w:r w:rsidR="001A1ED3" w:rsidRPr="00F65880">
                  <w:rPr>
                    <w:rFonts w:ascii="Georgia" w:hAnsi="Georgia"/>
                  </w:rPr>
                  <w:t>2019:279566</w:t>
                </w:r>
              </w:sdtContent>
            </w:sdt>
          </w:p>
        </w:tc>
      </w:tr>
      <w:tr w:rsidR="001A1ED3" w:rsidRPr="00F65880" w:rsidTr="00731283">
        <w:tc>
          <w:tcPr>
            <w:tcW w:w="2340" w:type="dxa"/>
          </w:tcPr>
          <w:p w:rsidR="001A1ED3" w:rsidRPr="00F65880" w:rsidRDefault="001A1ED3" w:rsidP="00731283">
            <w:pPr>
              <w:tabs>
                <w:tab w:val="right" w:pos="9498"/>
              </w:tabs>
              <w:spacing w:line="360" w:lineRule="auto"/>
              <w:rPr>
                <w:rFonts w:ascii="Georgia" w:hAnsi="Georgia"/>
                <w:b/>
              </w:rPr>
            </w:pPr>
            <w:r w:rsidRPr="00F65880">
              <w:rPr>
                <w:rFonts w:ascii="Georgia" w:hAnsi="Georgia"/>
                <w:color w:val="0D0D0D" w:themeColor="text1" w:themeTint="F2"/>
              </w:rPr>
              <w:t>Datë:</w:t>
            </w:r>
          </w:p>
        </w:tc>
        <w:tc>
          <w:tcPr>
            <w:tcW w:w="2250" w:type="dxa"/>
          </w:tcPr>
          <w:p w:rsidR="001A1ED3" w:rsidRPr="00F65880" w:rsidRDefault="00AD592A" w:rsidP="00731283">
            <w:pPr>
              <w:tabs>
                <w:tab w:val="right" w:pos="9498"/>
              </w:tabs>
              <w:spacing w:line="360" w:lineRule="auto"/>
              <w:rPr>
                <w:rFonts w:ascii="Georgia" w:hAnsi="Georgia"/>
                <w:b/>
              </w:rPr>
            </w:pPr>
            <w:sdt>
              <w:sdtPr>
                <w:rPr>
                  <w:rFonts w:ascii="Georgia" w:hAnsi="Georgia"/>
                  <w:color w:val="0D0D0D" w:themeColor="text1" w:themeTint="F2"/>
                </w:rPr>
                <w:alias w:val="DataDokumentit"/>
                <w:tag w:val="templateDates.DocumentDate"/>
                <w:id w:val="-1879233491"/>
                <w:placeholder>
                  <w:docPart w:val="1977355F40BB48B4BBD67CC88E7B6D02"/>
                </w:placeholder>
                <w:text/>
              </w:sdtPr>
              <w:sdtEndPr/>
              <w:sdtContent>
                <w:r w:rsidR="001A1ED3" w:rsidRPr="00F65880">
                  <w:rPr>
                    <w:rFonts w:ascii="Georgia" w:hAnsi="Georgia"/>
                    <w:color w:val="0D0D0D" w:themeColor="text1" w:themeTint="F2"/>
                  </w:rPr>
                  <w:t>20.05.2024</w:t>
                </w:r>
              </w:sdtContent>
            </w:sdt>
          </w:p>
        </w:tc>
      </w:tr>
      <w:tr w:rsidR="001A1ED3" w:rsidRPr="00F65880" w:rsidTr="00731283">
        <w:tc>
          <w:tcPr>
            <w:tcW w:w="2340" w:type="dxa"/>
          </w:tcPr>
          <w:p w:rsidR="001A1ED3" w:rsidRPr="00F65880" w:rsidRDefault="001A1ED3" w:rsidP="00731283">
            <w:pPr>
              <w:tabs>
                <w:tab w:val="right" w:pos="9498"/>
              </w:tabs>
              <w:spacing w:line="360" w:lineRule="auto"/>
              <w:rPr>
                <w:rFonts w:ascii="Georgia" w:hAnsi="Georgia"/>
                <w:b/>
              </w:rPr>
            </w:pPr>
            <w:r w:rsidRPr="00F65880">
              <w:rPr>
                <w:rFonts w:ascii="Georgia" w:hAnsi="Georgia"/>
              </w:rPr>
              <w:t xml:space="preserve">Numri i dokumentit:    </w:t>
            </w:r>
          </w:p>
        </w:tc>
        <w:tc>
          <w:tcPr>
            <w:tcW w:w="2250" w:type="dxa"/>
          </w:tcPr>
          <w:p w:rsidR="001A1ED3" w:rsidRPr="00F65880" w:rsidRDefault="00AD592A" w:rsidP="00731283">
            <w:pPr>
              <w:tabs>
                <w:tab w:val="right" w:pos="9498"/>
              </w:tabs>
              <w:spacing w:line="360" w:lineRule="auto"/>
              <w:rPr>
                <w:rFonts w:ascii="Georgia" w:hAnsi="Georgia"/>
                <w:b/>
              </w:rPr>
            </w:pPr>
            <w:sdt>
              <w:sdtPr>
                <w:rPr>
                  <w:rFonts w:ascii="Georgia" w:hAnsi="Georgia"/>
                </w:rPr>
                <w:alias w:val="Nrdokumentit"/>
                <w:tag w:val="document.DocumentNumberString"/>
                <w:id w:val="157661756"/>
                <w:placeholder>
                  <w:docPart w:val="3515FACDBF8C4C699F6FDCE5BA3592F7"/>
                </w:placeholder>
              </w:sdtPr>
              <w:sdtEndPr/>
              <w:sdtContent>
                <w:r w:rsidR="001A1ED3" w:rsidRPr="00F65880">
                  <w:rPr>
                    <w:rFonts w:ascii="Georgia" w:hAnsi="Georgia"/>
                  </w:rPr>
                  <w:t>05705777</w:t>
                </w:r>
              </w:sdtContent>
            </w:sdt>
          </w:p>
        </w:tc>
      </w:tr>
    </w:tbl>
    <w:p w:rsidR="001A1ED3" w:rsidRPr="00F65880" w:rsidRDefault="001A1ED3" w:rsidP="00731283">
      <w:pPr>
        <w:jc w:val="both"/>
        <w:rPr>
          <w:rFonts w:ascii="Georgia" w:hAnsi="Georgia"/>
        </w:rPr>
      </w:pPr>
    </w:p>
    <w:p w:rsidR="001A1ED3" w:rsidRPr="00F65880" w:rsidRDefault="001A1ED3" w:rsidP="00731283">
      <w:pPr>
        <w:jc w:val="both"/>
        <w:rPr>
          <w:rFonts w:ascii="Georgia" w:hAnsi="Georgia"/>
        </w:rPr>
      </w:pPr>
    </w:p>
    <w:p w:rsidR="001A1ED3" w:rsidRPr="00F65880" w:rsidRDefault="001A1ED3" w:rsidP="00731283">
      <w:pPr>
        <w:jc w:val="both"/>
        <w:rPr>
          <w:rFonts w:ascii="Georgia" w:hAnsi="Georgia"/>
        </w:rPr>
      </w:pPr>
    </w:p>
    <w:p w:rsidR="00F22F5C" w:rsidRPr="00F65880" w:rsidRDefault="00F22F5C" w:rsidP="00F22F5C">
      <w:pPr>
        <w:jc w:val="right"/>
        <w:rPr>
          <w:rFonts w:ascii="Georgia" w:hAnsi="Georgia"/>
          <w:b/>
        </w:rPr>
      </w:pPr>
      <w:r w:rsidRPr="00F65880">
        <w:rPr>
          <w:rFonts w:ascii="Georgia" w:hAnsi="Georgia"/>
          <w:b/>
        </w:rPr>
        <w:t>A.nr.2845/2019</w:t>
      </w:r>
    </w:p>
    <w:p w:rsidR="00F22F5C" w:rsidRPr="00F65880" w:rsidRDefault="00F22F5C" w:rsidP="00F22F5C">
      <w:pPr>
        <w:jc w:val="both"/>
        <w:rPr>
          <w:rFonts w:ascii="Georgia" w:hAnsi="Georgia"/>
        </w:rPr>
      </w:pPr>
    </w:p>
    <w:p w:rsidR="00F22F5C" w:rsidRPr="00F65880" w:rsidRDefault="00F22F5C" w:rsidP="00F22F5C">
      <w:pPr>
        <w:jc w:val="both"/>
        <w:rPr>
          <w:rFonts w:ascii="Georgia" w:hAnsi="Georgia"/>
          <w:color w:val="000000"/>
        </w:rPr>
      </w:pPr>
      <w:r w:rsidRPr="00F65880">
        <w:rPr>
          <w:rFonts w:ascii="Georgia" w:hAnsi="Georgia"/>
        </w:rPr>
        <w:t xml:space="preserve">GJYKATA THEMELORE NË PRISHTINË, DEPARTAMENTI PËR ÇËSHTJE ADMINISTRATIVE, </w:t>
      </w:r>
      <w:r w:rsidRPr="00F65880">
        <w:rPr>
          <w:rFonts w:ascii="Georgia" w:hAnsi="Georgia"/>
          <w:noProof/>
        </w:rPr>
        <w:t xml:space="preserve">me gjyqtaren Anita Nikci-Morina, në konfliktin administrativ </w:t>
      </w:r>
      <w:r w:rsidRPr="00F65880">
        <w:rPr>
          <w:rFonts w:ascii="Georgia" w:hAnsi="Georgia"/>
        </w:rPr>
        <w:t xml:space="preserve">të paditësit Komuna e Zubin Potokut, kundër të paditurës Këshilli i Pavarur </w:t>
      </w:r>
      <w:proofErr w:type="spellStart"/>
      <w:r w:rsidRPr="00F65880">
        <w:rPr>
          <w:rFonts w:ascii="Georgia" w:hAnsi="Georgia"/>
        </w:rPr>
        <w:t>Mbikqyrës</w:t>
      </w:r>
      <w:proofErr w:type="spellEnd"/>
      <w:r w:rsidRPr="00F65880">
        <w:rPr>
          <w:rFonts w:ascii="Georgia" w:hAnsi="Georgia"/>
        </w:rPr>
        <w:t xml:space="preserve"> për Shërbimin Civil të Kosovës (KPMSHCK) në Prishtinë, për shkak të anulimit të vendimit, </w:t>
      </w:r>
      <w:r w:rsidRPr="00F65880">
        <w:rPr>
          <w:rFonts w:ascii="Georgia" w:hAnsi="Georgia"/>
          <w:color w:val="000000"/>
        </w:rPr>
        <w:t xml:space="preserve">në shqyrtimin kryesor publik të mbajtur në  mungesë të palëve  </w:t>
      </w:r>
      <w:r w:rsidRPr="00F65880">
        <w:rPr>
          <w:rFonts w:ascii="Georgia" w:hAnsi="Georgia" w:cs="Calibri"/>
          <w:color w:val="000000"/>
        </w:rPr>
        <w:t>të thirrur në mënyrë të rregullt</w:t>
      </w:r>
      <w:r w:rsidRPr="00F65880">
        <w:rPr>
          <w:rFonts w:ascii="Georgia" w:hAnsi="Georgia"/>
          <w:color w:val="000000"/>
        </w:rPr>
        <w:t xml:space="preserve">  me dt.17.04.2024 </w:t>
      </w:r>
      <w:r w:rsidRPr="00F65880">
        <w:rPr>
          <w:rFonts w:ascii="Georgia" w:eastAsia="Arial Unicode MS" w:hAnsi="Georgia" w:cs="Calibri"/>
          <w:color w:val="000000"/>
        </w:rPr>
        <w:t>merr këtë:</w:t>
      </w:r>
    </w:p>
    <w:p w:rsidR="00F22F5C" w:rsidRPr="00F65880" w:rsidRDefault="00F22F5C" w:rsidP="00F22F5C">
      <w:pPr>
        <w:jc w:val="both"/>
        <w:rPr>
          <w:rFonts w:ascii="Georgia" w:hAnsi="Georgia"/>
        </w:rPr>
      </w:pPr>
    </w:p>
    <w:p w:rsidR="00F22F5C" w:rsidRPr="00F65880" w:rsidRDefault="00F22F5C" w:rsidP="00F22F5C">
      <w:pPr>
        <w:jc w:val="center"/>
        <w:rPr>
          <w:rFonts w:ascii="Georgia" w:hAnsi="Georgia"/>
          <w:b/>
        </w:rPr>
      </w:pPr>
      <w:r w:rsidRPr="00F65880">
        <w:rPr>
          <w:rFonts w:ascii="Georgia" w:hAnsi="Georgia"/>
          <w:b/>
        </w:rPr>
        <w:t>A K T GJ Y K I M</w:t>
      </w:r>
    </w:p>
    <w:p w:rsidR="00F22F5C" w:rsidRPr="00F65880" w:rsidRDefault="00F22F5C" w:rsidP="00F22F5C">
      <w:pPr>
        <w:jc w:val="both"/>
        <w:rPr>
          <w:rFonts w:ascii="Georgia" w:hAnsi="Georgia"/>
        </w:rPr>
      </w:pPr>
    </w:p>
    <w:p w:rsidR="00F22F5C" w:rsidRPr="00F65880" w:rsidRDefault="00F22F5C" w:rsidP="00F22F5C">
      <w:pPr>
        <w:jc w:val="both"/>
        <w:rPr>
          <w:rFonts w:ascii="Georgia" w:hAnsi="Georgia"/>
        </w:rPr>
      </w:pPr>
      <w:proofErr w:type="spellStart"/>
      <w:r w:rsidRPr="00F65880">
        <w:rPr>
          <w:rFonts w:ascii="Georgia" w:hAnsi="Georgia"/>
          <w:b/>
        </w:rPr>
        <w:t>I.Refuzohet</w:t>
      </w:r>
      <w:proofErr w:type="spellEnd"/>
      <w:r w:rsidRPr="00F65880">
        <w:rPr>
          <w:rFonts w:ascii="Georgia" w:hAnsi="Georgia"/>
        </w:rPr>
        <w:t xml:space="preserve"> kërkesëpadia e paditësit Komuna e Zubin Potokut, me të cilën ka kërkuar që të anulohet</w:t>
      </w:r>
      <w:r w:rsidR="00DB2D2E" w:rsidRPr="00F65880">
        <w:rPr>
          <w:rFonts w:ascii="Georgia" w:hAnsi="Georgia"/>
        </w:rPr>
        <w:t xml:space="preserve"> vendimi i </w:t>
      </w:r>
      <w:r w:rsidRPr="00F65880">
        <w:rPr>
          <w:rFonts w:ascii="Georgia" w:hAnsi="Georgia"/>
        </w:rPr>
        <w:t xml:space="preserve"> Këshilli</w:t>
      </w:r>
      <w:r w:rsidR="00DB2D2E" w:rsidRPr="00F65880">
        <w:rPr>
          <w:rFonts w:ascii="Georgia" w:hAnsi="Georgia"/>
        </w:rPr>
        <w:t xml:space="preserve">t te </w:t>
      </w:r>
      <w:r w:rsidRPr="00F65880">
        <w:rPr>
          <w:rFonts w:ascii="Georgia" w:hAnsi="Georgia"/>
        </w:rPr>
        <w:t xml:space="preserve"> Pavarur </w:t>
      </w:r>
      <w:r w:rsidR="005027E0" w:rsidRPr="00F65880">
        <w:rPr>
          <w:rFonts w:ascii="Georgia" w:hAnsi="Georgia"/>
        </w:rPr>
        <w:t>Mbikëqyrës</w:t>
      </w:r>
      <w:r w:rsidRPr="00F65880">
        <w:rPr>
          <w:rFonts w:ascii="Georgia" w:hAnsi="Georgia"/>
        </w:rPr>
        <w:t xml:space="preserve"> për Shërbimin Civil të Kosovës (KPMSHCK) në Prishtinë, me Nr. i dosjes A.nr.02/113/2017 dt. 10.05. 2017.</w:t>
      </w:r>
    </w:p>
    <w:p w:rsidR="00F22F5C" w:rsidRPr="00F65880" w:rsidRDefault="00F22F5C" w:rsidP="00F22F5C">
      <w:pPr>
        <w:jc w:val="both"/>
        <w:rPr>
          <w:rFonts w:ascii="Georgia" w:hAnsi="Georgia"/>
        </w:rPr>
      </w:pPr>
    </w:p>
    <w:p w:rsidR="00F22F5C" w:rsidRPr="00F65880" w:rsidRDefault="00F22F5C" w:rsidP="00F22F5C">
      <w:pPr>
        <w:jc w:val="both"/>
        <w:rPr>
          <w:rFonts w:ascii="Georgia" w:hAnsi="Georgia"/>
        </w:rPr>
      </w:pPr>
      <w:proofErr w:type="spellStart"/>
      <w:r w:rsidRPr="00F65880">
        <w:rPr>
          <w:rFonts w:ascii="Georgia" w:hAnsi="Georgia"/>
          <w:b/>
        </w:rPr>
        <w:t>II.</w:t>
      </w:r>
      <w:r w:rsidRPr="00F65880">
        <w:rPr>
          <w:rFonts w:ascii="Georgia" w:hAnsi="Georgia"/>
        </w:rPr>
        <w:t>Secila</w:t>
      </w:r>
      <w:proofErr w:type="spellEnd"/>
      <w:r w:rsidRPr="00F65880">
        <w:rPr>
          <w:rFonts w:ascii="Georgia" w:hAnsi="Georgia"/>
        </w:rPr>
        <w:t xml:space="preserve"> palë i bartë shpenzimet e veta procedurale.</w:t>
      </w:r>
    </w:p>
    <w:p w:rsidR="00F22F5C" w:rsidRPr="00F65880" w:rsidRDefault="00F22F5C" w:rsidP="00F22F5C">
      <w:pPr>
        <w:tabs>
          <w:tab w:val="left" w:pos="6750"/>
        </w:tabs>
        <w:jc w:val="both"/>
        <w:rPr>
          <w:rFonts w:ascii="Georgia" w:eastAsia="Times New Roman" w:hAnsi="Georgia"/>
        </w:rPr>
      </w:pPr>
    </w:p>
    <w:p w:rsidR="00F22F5C" w:rsidRPr="00F65880" w:rsidRDefault="00F22F5C" w:rsidP="00F22F5C">
      <w:pPr>
        <w:tabs>
          <w:tab w:val="left" w:pos="6750"/>
        </w:tabs>
        <w:jc w:val="center"/>
        <w:rPr>
          <w:rFonts w:ascii="Georgia" w:eastAsia="Times New Roman" w:hAnsi="Georgia"/>
          <w:b/>
          <w:bCs/>
        </w:rPr>
      </w:pPr>
      <w:r w:rsidRPr="00F65880">
        <w:rPr>
          <w:rFonts w:ascii="Georgia" w:eastAsia="Times New Roman" w:hAnsi="Georgia"/>
          <w:b/>
          <w:bCs/>
        </w:rPr>
        <w:t>A r s y e t i m i</w:t>
      </w:r>
    </w:p>
    <w:p w:rsidR="00F22F5C" w:rsidRPr="00F65880" w:rsidRDefault="00F22F5C" w:rsidP="00F22F5C">
      <w:pPr>
        <w:tabs>
          <w:tab w:val="left" w:pos="6750"/>
        </w:tabs>
        <w:rPr>
          <w:rFonts w:ascii="Georgia" w:eastAsia="Times New Roman" w:hAnsi="Georgia"/>
        </w:rPr>
      </w:pPr>
    </w:p>
    <w:p w:rsidR="00F22F5C" w:rsidRPr="00F65880" w:rsidRDefault="00F22F5C" w:rsidP="00F22F5C">
      <w:pPr>
        <w:jc w:val="both"/>
        <w:rPr>
          <w:rFonts w:ascii="Georgia" w:hAnsi="Georgia"/>
        </w:rPr>
      </w:pPr>
      <w:r w:rsidRPr="00F65880">
        <w:rPr>
          <w:rFonts w:ascii="Georgia" w:hAnsi="Georgia"/>
        </w:rPr>
        <w:t xml:space="preserve">Pala paditëse ka ushtruar padi në këtë gjykatë, me dt.29.11.2019 kundër të paditurës, Këshilli i Pavarur Mbikëqyrës për Shërbimin Civil të Kosovës duke kërkuar anulimin e vendimit </w:t>
      </w:r>
      <w:r w:rsidR="00D85DB9" w:rsidRPr="00F65880">
        <w:rPr>
          <w:rFonts w:ascii="Georgia" w:hAnsi="Georgia"/>
        </w:rPr>
        <w:t>A.nr.02/113/2017 dt. 10.05.2017</w:t>
      </w:r>
      <w:r w:rsidR="00835472">
        <w:rPr>
          <w:rFonts w:ascii="Georgia" w:hAnsi="Georgia"/>
        </w:rPr>
        <w:t xml:space="preserve">  lëshuar nga </w:t>
      </w:r>
      <w:r w:rsidRPr="00F65880">
        <w:rPr>
          <w:rFonts w:ascii="Georgia" w:hAnsi="Georgia"/>
        </w:rPr>
        <w:t xml:space="preserve"> Këshilli i Pavarur </w:t>
      </w:r>
      <w:r w:rsidR="005027E0" w:rsidRPr="00F65880">
        <w:rPr>
          <w:rFonts w:ascii="Georgia" w:hAnsi="Georgia"/>
        </w:rPr>
        <w:t>Mbikëqyrës</w:t>
      </w:r>
      <w:r w:rsidRPr="00F65880">
        <w:rPr>
          <w:rFonts w:ascii="Georgia" w:hAnsi="Georgia"/>
        </w:rPr>
        <w:t xml:space="preserve"> për Shërbimin Civil të Kosovës (KPMSHCK) në Prishtinë,</w:t>
      </w:r>
      <w:r w:rsidR="005027E0">
        <w:rPr>
          <w:rFonts w:ascii="Georgia" w:hAnsi="Georgia"/>
        </w:rPr>
        <w:t xml:space="preserve"> </w:t>
      </w:r>
      <w:r w:rsidRPr="00F65880">
        <w:rPr>
          <w:rFonts w:ascii="Georgia" w:hAnsi="Georgia"/>
        </w:rPr>
        <w:t>me të cilin është aprovuar ankesa e ankuesit G</w:t>
      </w:r>
      <w:r w:rsidR="005027E0">
        <w:rPr>
          <w:rFonts w:ascii="Georgia" w:hAnsi="Georgia"/>
        </w:rPr>
        <w:t>.</w:t>
      </w:r>
      <w:r w:rsidRPr="00F65880">
        <w:rPr>
          <w:rFonts w:ascii="Georgia" w:hAnsi="Georgia"/>
        </w:rPr>
        <w:t xml:space="preserve"> Gj</w:t>
      </w:r>
      <w:r w:rsidR="005027E0">
        <w:rPr>
          <w:rFonts w:ascii="Georgia" w:hAnsi="Georgia"/>
        </w:rPr>
        <w:t>.</w:t>
      </w:r>
      <w:r w:rsidRPr="00F65880">
        <w:rPr>
          <w:rFonts w:ascii="Georgia" w:hAnsi="Georgia"/>
        </w:rPr>
        <w:t xml:space="preserve"> dhe paditësi është obliguar qe ankuesin ta sistemoj ne listën e pagave sipas legjislacionit ne fuqi dhe lënda i është kthyer në rishqyrtim të organi i shkallës së parë.</w:t>
      </w:r>
    </w:p>
    <w:p w:rsidR="00F22F5C" w:rsidRPr="00F65880" w:rsidRDefault="00F22F5C" w:rsidP="00F22F5C">
      <w:pPr>
        <w:jc w:val="both"/>
        <w:rPr>
          <w:rFonts w:ascii="Georgia" w:hAnsi="Georgia"/>
        </w:rPr>
      </w:pPr>
    </w:p>
    <w:p w:rsidR="00F22F5C" w:rsidRPr="00F65880" w:rsidRDefault="00F22F5C" w:rsidP="00F22F5C">
      <w:pPr>
        <w:pStyle w:val="BodyText"/>
        <w:rPr>
          <w:rFonts w:ascii="Georgia" w:hAnsi="Georgia"/>
          <w:bCs/>
          <w:lang w:val="sq-AL"/>
        </w:rPr>
      </w:pPr>
      <w:r w:rsidRPr="00F65880">
        <w:rPr>
          <w:rFonts w:ascii="Georgia" w:hAnsi="Georgia"/>
          <w:bCs/>
          <w:lang w:val="sq-AL"/>
        </w:rPr>
        <w:t>Organi i paditur në përgjigje në padi thekson se padia e paditësit është tërësisht e pabazë,</w:t>
      </w:r>
      <w:r w:rsidR="005027E0">
        <w:rPr>
          <w:rFonts w:ascii="Georgia" w:hAnsi="Georgia"/>
          <w:bCs/>
          <w:lang w:val="sq-AL"/>
        </w:rPr>
        <w:t xml:space="preserve"> </w:t>
      </w:r>
      <w:r w:rsidRPr="00F65880">
        <w:rPr>
          <w:rFonts w:ascii="Georgia" w:hAnsi="Georgia"/>
          <w:bCs/>
          <w:lang w:val="sq-AL"/>
        </w:rPr>
        <w:t xml:space="preserve">sipas organit të paditur, kolegji për shqyrtim të ankesave në kuadër të organit të paditur ka shqyrtuar pretendimet e paditësit, thekson se pretendimet e paditësit  janë të paqëndrueshme. </w:t>
      </w:r>
    </w:p>
    <w:p w:rsidR="00F22F5C" w:rsidRPr="00F65880" w:rsidRDefault="00F22F5C" w:rsidP="00F22F5C">
      <w:pPr>
        <w:pStyle w:val="BodyText"/>
        <w:rPr>
          <w:rFonts w:ascii="Georgia" w:hAnsi="Georgia"/>
          <w:lang w:val="sq-AL"/>
        </w:rPr>
      </w:pPr>
    </w:p>
    <w:p w:rsidR="00F22F5C" w:rsidRPr="00F65880" w:rsidRDefault="00F22F5C" w:rsidP="00F22F5C">
      <w:pPr>
        <w:jc w:val="both"/>
        <w:rPr>
          <w:rFonts w:ascii="Georgia" w:eastAsia="Times New Roman" w:hAnsi="Georgia"/>
          <w:bCs/>
        </w:rPr>
      </w:pPr>
      <w:r w:rsidRPr="00F65880">
        <w:rPr>
          <w:rFonts w:ascii="Georgia" w:hAnsi="Georgia"/>
          <w:bCs/>
        </w:rPr>
        <w:t>Gjykata në seancën e shqyrtimit kryesor të dt.17.04.2024  ka bërë administrimin e provave dhe atë:</w:t>
      </w:r>
      <w:r w:rsidRPr="00F65880">
        <w:rPr>
          <w:rFonts w:ascii="Georgia" w:hAnsi="Georgia"/>
        </w:rPr>
        <w:t xml:space="preserve"> </w:t>
      </w:r>
      <w:r w:rsidRPr="00F65880">
        <w:rPr>
          <w:rFonts w:ascii="Georgia" w:eastAsia="Times New Roman" w:hAnsi="Georgia"/>
          <w:bCs/>
        </w:rPr>
        <w:t xml:space="preserve">Vendimi i dt.08.05.2017, vërtetimi i kopjes së dokumentit origjinal, datë 08.11.2019, vërejtja e dt.31.07.2017, vërejtja  2 e dt.30.09.2017, vendimi mbi ndërprerjen e </w:t>
      </w:r>
      <w:proofErr w:type="spellStart"/>
      <w:r w:rsidRPr="00F65880">
        <w:rPr>
          <w:rFonts w:ascii="Georgia" w:eastAsia="Times New Roman" w:hAnsi="Georgia"/>
          <w:bCs/>
        </w:rPr>
        <w:t>mardhënjes</w:t>
      </w:r>
      <w:proofErr w:type="spellEnd"/>
      <w:r w:rsidRPr="00F65880">
        <w:rPr>
          <w:rFonts w:ascii="Georgia" w:eastAsia="Times New Roman" w:hAnsi="Georgia"/>
          <w:bCs/>
        </w:rPr>
        <w:t xml:space="preserve"> së punës dt.12.12.2017, evidencat ditore e vijueshmërisë në </w:t>
      </w:r>
      <w:r w:rsidRPr="00F65880">
        <w:rPr>
          <w:rFonts w:ascii="Georgia" w:eastAsia="Times New Roman" w:hAnsi="Georgia"/>
          <w:bCs/>
        </w:rPr>
        <w:lastRenderedPageBreak/>
        <w:t xml:space="preserve">punë  54 fletë A4, vendimi mbi formimin e komisionit </w:t>
      </w:r>
      <w:proofErr w:type="spellStart"/>
      <w:r w:rsidRPr="00F65880">
        <w:rPr>
          <w:rFonts w:ascii="Georgia" w:eastAsia="Times New Roman" w:hAnsi="Georgia"/>
          <w:bCs/>
        </w:rPr>
        <w:t>diciplinor</w:t>
      </w:r>
      <w:proofErr w:type="spellEnd"/>
      <w:r w:rsidRPr="00F65880">
        <w:rPr>
          <w:rFonts w:ascii="Georgia" w:eastAsia="Times New Roman" w:hAnsi="Georgia"/>
          <w:bCs/>
        </w:rPr>
        <w:t xml:space="preserve"> i dt.27.07.2017, procesverbali i dt.28.07.2017, dorëzimi i formularëve i dt.07.11.2017, formularët në listën e pagave 4 faqe A4, ankesa e dt.19.12.2016, akt emërimi i d.28.02.2012, kopja e letër njoftimit të paditësit, kërkesa e dt.21.09.2016, fletë dorëzimi i dt.21.09.2016, kërkesa e dt.04.10.2016, përgjigje në shkresë datë 06.10.2016, fletë dorëzimi i d.07.10.2016, kërkesa e dt.14.10.2016, fletë dorëzimi i dt.14.10.2016, kërkesa e dt.26.10.2016, kërkesa e dt.07.11.2016,  formulari i regjistrimit të ankesës datë 21.02.2019, kërkesë e dt.13.03.2017, lajmërimi i dt.13.03.2017, përgjigje në kërkesën e dt.09.12.2021, përgjigje në njoftim datë 06.02.2018, vendimi i dt.22.06.2020, vendimi i dt.08.05.2017.</w:t>
      </w:r>
    </w:p>
    <w:p w:rsidR="00F22F5C" w:rsidRPr="00F65880" w:rsidRDefault="00F22F5C" w:rsidP="00F22F5C">
      <w:pPr>
        <w:jc w:val="both"/>
        <w:rPr>
          <w:rFonts w:ascii="Georgia" w:hAnsi="Georgia"/>
        </w:rPr>
      </w:pPr>
    </w:p>
    <w:p w:rsidR="00F22F5C" w:rsidRPr="00F65880" w:rsidRDefault="00F22F5C" w:rsidP="00F22F5C">
      <w:pPr>
        <w:tabs>
          <w:tab w:val="left" w:pos="360"/>
          <w:tab w:val="left" w:pos="540"/>
          <w:tab w:val="left" w:pos="630"/>
          <w:tab w:val="left" w:pos="720"/>
          <w:tab w:val="left" w:pos="6750"/>
        </w:tabs>
        <w:jc w:val="both"/>
        <w:rPr>
          <w:rFonts w:ascii="Georgia" w:hAnsi="Georgia"/>
        </w:rPr>
      </w:pPr>
      <w:r w:rsidRPr="00F65880">
        <w:rPr>
          <w:rFonts w:ascii="Georgia" w:hAnsi="Georgia"/>
        </w:rPr>
        <w:t xml:space="preserve">Duke vlerësuar ligjshmërinë e vendimit kontestues </w:t>
      </w:r>
      <w:proofErr w:type="spellStart"/>
      <w:r w:rsidRPr="00F65880">
        <w:rPr>
          <w:rFonts w:ascii="Georgia" w:hAnsi="Georgia"/>
        </w:rPr>
        <w:t>konform</w:t>
      </w:r>
      <w:proofErr w:type="spellEnd"/>
      <w:r w:rsidRPr="00F65880">
        <w:rPr>
          <w:rFonts w:ascii="Georgia" w:hAnsi="Georgia"/>
        </w:rPr>
        <w:t xml:space="preserve"> Nenit 44 të Ligjit për Konfliktet Administrative (LKA) – Ligji Nr. 03/L-202,  gjykata në bazë të provave të administruara dhe deklarimeve të palëve </w:t>
      </w:r>
      <w:proofErr w:type="spellStart"/>
      <w:r w:rsidRPr="00F65880">
        <w:rPr>
          <w:rFonts w:ascii="Georgia" w:hAnsi="Georgia"/>
        </w:rPr>
        <w:t>ndërgjyqëse</w:t>
      </w:r>
      <w:proofErr w:type="spellEnd"/>
      <w:r w:rsidRPr="00F65880">
        <w:rPr>
          <w:rFonts w:ascii="Georgia" w:hAnsi="Georgia"/>
        </w:rPr>
        <w:t>, ka gjetur se kërkesëpadia e paditësit është pabazuar.</w:t>
      </w:r>
    </w:p>
    <w:p w:rsidR="00F22F5C" w:rsidRPr="00F65880" w:rsidRDefault="00F22F5C" w:rsidP="00F22F5C">
      <w:pPr>
        <w:tabs>
          <w:tab w:val="left" w:pos="6750"/>
        </w:tabs>
        <w:jc w:val="both"/>
        <w:rPr>
          <w:rFonts w:ascii="Georgia" w:hAnsi="Georgia"/>
        </w:rPr>
      </w:pPr>
    </w:p>
    <w:p w:rsidR="00F22F5C" w:rsidRPr="00F65880" w:rsidRDefault="00F22F5C" w:rsidP="00F22F5C">
      <w:pPr>
        <w:jc w:val="both"/>
        <w:rPr>
          <w:rFonts w:ascii="Georgia" w:hAnsi="Georgia"/>
        </w:rPr>
      </w:pPr>
      <w:r w:rsidRPr="00F65880">
        <w:rPr>
          <w:rFonts w:ascii="Georgia" w:hAnsi="Georgia"/>
        </w:rPr>
        <w:t>Nga shkresat e lëndës rezulton se këtij konflikti administrativ i ka paraprirë një procedurë administrative e iniciuar nga ankuesi, G</w:t>
      </w:r>
      <w:r w:rsidR="005027E0">
        <w:rPr>
          <w:rFonts w:ascii="Georgia" w:hAnsi="Georgia"/>
        </w:rPr>
        <w:t>.</w:t>
      </w:r>
      <w:r w:rsidRPr="00F65880">
        <w:rPr>
          <w:rFonts w:ascii="Georgia" w:hAnsi="Georgia"/>
        </w:rPr>
        <w:t xml:space="preserve"> Gj</w:t>
      </w:r>
      <w:r w:rsidR="005027E0">
        <w:rPr>
          <w:rFonts w:ascii="Georgia" w:hAnsi="Georgia"/>
        </w:rPr>
        <w:t>.</w:t>
      </w:r>
      <w:r w:rsidRPr="00F65880">
        <w:rPr>
          <w:rFonts w:ascii="Georgia" w:hAnsi="Georgia"/>
        </w:rPr>
        <w:t xml:space="preserve">, i punësuar në pozitën Shef i Ekipit të Ndihmës Sociale në Komunën e Zubin Potokut, te cilit organi i paditur i kishte ndërprerë marrëdhënien e punës </w:t>
      </w:r>
      <w:proofErr w:type="spellStart"/>
      <w:r w:rsidRPr="00F65880">
        <w:rPr>
          <w:rFonts w:ascii="Georgia" w:hAnsi="Georgia"/>
        </w:rPr>
        <w:t>konform</w:t>
      </w:r>
      <w:proofErr w:type="spellEnd"/>
      <w:r w:rsidRPr="00F65880">
        <w:rPr>
          <w:rFonts w:ascii="Georgia" w:hAnsi="Georgia"/>
        </w:rPr>
        <w:t xml:space="preserve"> vendimit marrë më datë 02.10.2017.</w:t>
      </w:r>
    </w:p>
    <w:p w:rsidR="00F22F5C" w:rsidRPr="00F65880" w:rsidRDefault="00F22F5C" w:rsidP="00F22F5C">
      <w:pPr>
        <w:jc w:val="both"/>
        <w:rPr>
          <w:rFonts w:ascii="Georgia" w:hAnsi="Georgia"/>
        </w:rPr>
      </w:pPr>
    </w:p>
    <w:p w:rsidR="00F22F5C" w:rsidRDefault="00F22F5C" w:rsidP="00F22F5C">
      <w:pPr>
        <w:jc w:val="both"/>
        <w:rPr>
          <w:rFonts w:ascii="Georgia" w:hAnsi="Georgia"/>
        </w:rPr>
      </w:pPr>
      <w:r w:rsidRPr="00F65880">
        <w:rPr>
          <w:rFonts w:ascii="Georgia" w:hAnsi="Georgia"/>
        </w:rPr>
        <w:t>Gjykata e gjen të themeltë arsyetimin e vendimit të organit të paditur se ankuesi, G</w:t>
      </w:r>
      <w:r w:rsidR="005027E0">
        <w:rPr>
          <w:rFonts w:ascii="Georgia" w:hAnsi="Georgia"/>
        </w:rPr>
        <w:t>.</w:t>
      </w:r>
      <w:r w:rsidRPr="00F65880">
        <w:rPr>
          <w:rFonts w:ascii="Georgia" w:hAnsi="Georgia"/>
        </w:rPr>
        <w:t xml:space="preserve"> Gj</w:t>
      </w:r>
      <w:r w:rsidR="005027E0">
        <w:rPr>
          <w:rFonts w:ascii="Georgia" w:hAnsi="Georgia"/>
        </w:rPr>
        <w:t>.</w:t>
      </w:r>
      <w:r w:rsidRPr="00F65880">
        <w:rPr>
          <w:rFonts w:ascii="Georgia" w:hAnsi="Georgia"/>
        </w:rPr>
        <w:t>, ishte  punësuar në përputhje me Aktin e Emërimeve, numër protokolli 341 i datës 28 shkurt 2012, në pozitën Shef i Ekipit të Ndihmës Sociale në Komunën e Zubin Potokut. Më 3 qershor 2016, Komuna e Zubin Potokut dhe Ministria e Punës dhe Mbrojtjes Sociale nënshkruan Memorandum Mirëkuptimi, me numër protokolli 177, për bartjen e përgjegjësisë për shërbimet sociale dhe delegimin e përgjegjësisë për ndihmën sociale në nivel komunal, në Komunën e Zubin Potokut.</w:t>
      </w:r>
    </w:p>
    <w:p w:rsidR="005027E0" w:rsidRPr="00F65880" w:rsidRDefault="005027E0" w:rsidP="00F22F5C">
      <w:pPr>
        <w:jc w:val="both"/>
        <w:rPr>
          <w:rFonts w:ascii="Georgia" w:hAnsi="Georgia"/>
        </w:rPr>
      </w:pPr>
    </w:p>
    <w:p w:rsidR="00F22F5C" w:rsidRPr="00F65880" w:rsidRDefault="00F22F5C" w:rsidP="00F22F5C">
      <w:pPr>
        <w:jc w:val="both"/>
        <w:rPr>
          <w:rFonts w:ascii="Georgia" w:hAnsi="Georgia"/>
        </w:rPr>
      </w:pPr>
      <w:r w:rsidRPr="00F65880">
        <w:rPr>
          <w:rFonts w:ascii="Georgia" w:hAnsi="Georgia"/>
        </w:rPr>
        <w:t>Paneli për shqyrtimin e ankesave konstatoi se në bazë të Memorandumit të Mirëkuptimit, nr.177, të datës 03.06.2016, i lidhur ndërmjet institucioneve të sipërpërmendura, përcakton në mënyrë të detajuar të gjitha detyrimet e palëve, ku në nenin 6, të Memorandumit të Mirëkuptimit, dokumentacioni shtesë mbështetës i këtij Memorandumi, gjegjësisht cila është pjesa e saj, ku në pikën e parë të këtij neni është bashkangjitur lista e personelit, gjegjësisht zyrtarëve që do të transferohen nga lista e pagave e Ministrisë së Punës dhe Mbrojtjes Sociale, në listën e pagave të Komunës së Zubin Potokut, dhe në këtë listë të zyrtarëve është edhe ankuesi G</w:t>
      </w:r>
      <w:r w:rsidR="005027E0">
        <w:rPr>
          <w:rFonts w:ascii="Georgia" w:hAnsi="Georgia"/>
        </w:rPr>
        <w:t>.</w:t>
      </w:r>
      <w:r w:rsidRPr="00F65880">
        <w:rPr>
          <w:rFonts w:ascii="Georgia" w:hAnsi="Georgia"/>
        </w:rPr>
        <w:t xml:space="preserve"> D.</w:t>
      </w:r>
    </w:p>
    <w:p w:rsidR="00F22F5C" w:rsidRPr="00F65880" w:rsidRDefault="00F22F5C" w:rsidP="00F22F5C">
      <w:pPr>
        <w:jc w:val="both"/>
        <w:rPr>
          <w:rFonts w:ascii="Georgia" w:hAnsi="Georgia"/>
        </w:rPr>
      </w:pPr>
    </w:p>
    <w:p w:rsidR="00F22F5C" w:rsidRPr="00F65880" w:rsidRDefault="00F22F5C" w:rsidP="00F22F5C">
      <w:pPr>
        <w:jc w:val="both"/>
        <w:rPr>
          <w:rFonts w:ascii="Georgia" w:hAnsi="Georgia"/>
        </w:rPr>
      </w:pPr>
      <w:r w:rsidRPr="00F65880">
        <w:rPr>
          <w:rFonts w:ascii="Georgia" w:hAnsi="Georgia"/>
        </w:rPr>
        <w:t>Gjykata e gjen të themeltë arsyetimin e organit të paditur se sipas shkresës elektronike (e-</w:t>
      </w:r>
      <w:proofErr w:type="spellStart"/>
      <w:r w:rsidRPr="00F65880">
        <w:rPr>
          <w:rFonts w:ascii="Georgia" w:hAnsi="Georgia"/>
        </w:rPr>
        <w:t>mail</w:t>
      </w:r>
      <w:proofErr w:type="spellEnd"/>
      <w:r w:rsidRPr="00F65880">
        <w:rPr>
          <w:rFonts w:ascii="Georgia" w:hAnsi="Georgia"/>
        </w:rPr>
        <w:t>) të datës 26.04.2017, konfirmohet se është transferuar buxheti për Komunën e Zubin Potokut dhe heqjen e punëtorëve nga lista e pagave të Ministrisë së Punës dhe Mbrojtjes Sociale, Paneli shqyrtues i ankesave ka konstatuar se K.K. Zubin Potok është i obliguar ligjërisht që ta zbatojë këtë Memorandum të Mirëkuptimit, siç parashihet me dispozitat e nenit 17, pika k, të Ligjit nr. 037L-040, për Vetëqeverisjen Lokale, ku është përcaktuar se: “Ofrimi i shërbimeve familjare dhe të tjera sociale si mbrojtja e personave të cenueshëm dhe të pafuqishëm, mbrojtja familjare, mbrojtja e fëmijëve, kujdesi për personat e moshuar, përfshirë regjistrimin dhe licencimin e këtyre qendrave për kujdesin, punësimin, pagesën e të ardhurave personale dhe trajnimin e ekspertëve për mbrojtjen sociale”, pasi fusha e këtij Memorandumi Mirëkuptimi bie në kompetencën e plotë dhe ekskluzive të institucioneve lokale.</w:t>
      </w:r>
    </w:p>
    <w:p w:rsidR="00F22F5C" w:rsidRPr="00F65880" w:rsidRDefault="00F22F5C" w:rsidP="00F22F5C">
      <w:pPr>
        <w:jc w:val="both"/>
        <w:rPr>
          <w:rFonts w:ascii="Georgia" w:hAnsi="Georgia"/>
        </w:rPr>
      </w:pPr>
    </w:p>
    <w:p w:rsidR="00F22F5C" w:rsidRPr="00F65880" w:rsidRDefault="00F22F5C" w:rsidP="00F22F5C">
      <w:pPr>
        <w:tabs>
          <w:tab w:val="left" w:pos="6750"/>
        </w:tabs>
        <w:jc w:val="both"/>
        <w:rPr>
          <w:rFonts w:ascii="Georgia" w:hAnsi="Georgia"/>
        </w:rPr>
      </w:pPr>
      <w:r w:rsidRPr="00F65880">
        <w:rPr>
          <w:rFonts w:ascii="Georgia" w:hAnsi="Georgia"/>
        </w:rPr>
        <w:lastRenderedPageBreak/>
        <w:t xml:space="preserve">Gjykata vlerësoi pretendimet e paditësit, por gjeti se të njëjtat janë ta pabazuara në ligj, për shkak se paditësi nuk ka ofruar dëshmi të bazuara me të cilat do të argumentonte pretendimet ankimore lidhje me refuzimin e kërkesës.   </w:t>
      </w:r>
    </w:p>
    <w:p w:rsidR="00F22F5C" w:rsidRPr="00F65880" w:rsidRDefault="00F22F5C" w:rsidP="00F22F5C">
      <w:pPr>
        <w:tabs>
          <w:tab w:val="left" w:pos="6750"/>
        </w:tabs>
        <w:jc w:val="both"/>
        <w:rPr>
          <w:rFonts w:ascii="Georgia" w:eastAsia="Times New Roman" w:hAnsi="Georgia"/>
        </w:rPr>
      </w:pPr>
    </w:p>
    <w:p w:rsidR="00F22F5C" w:rsidRPr="00F65880" w:rsidRDefault="00F22F5C" w:rsidP="00F22F5C">
      <w:pPr>
        <w:jc w:val="both"/>
        <w:rPr>
          <w:rFonts w:ascii="Georgia" w:hAnsi="Georgia"/>
        </w:rPr>
      </w:pPr>
      <w:r w:rsidRPr="00F65880">
        <w:rPr>
          <w:rFonts w:ascii="Georgia" w:hAnsi="Georgia"/>
        </w:rPr>
        <w:t xml:space="preserve">Prandaj gjykata vlerëson se Vendimi i Këshillit të Pavarur Mbikëqyrës për Shërbimin Civil të Kosovës është i drejtë dhe i bazuar në ligj dhe se më këtë aktvendim paditësit nuk i është cenuar ndonjë e drejtë ligjore. </w:t>
      </w:r>
    </w:p>
    <w:p w:rsidR="00F22F5C" w:rsidRPr="00F65880" w:rsidRDefault="00F22F5C" w:rsidP="00F22F5C">
      <w:pPr>
        <w:tabs>
          <w:tab w:val="left" w:pos="6750"/>
        </w:tabs>
        <w:jc w:val="both"/>
        <w:rPr>
          <w:rFonts w:ascii="Georgia" w:hAnsi="Georgia"/>
        </w:rPr>
      </w:pPr>
    </w:p>
    <w:p w:rsidR="00F22F5C" w:rsidRPr="00F65880" w:rsidRDefault="00F22F5C" w:rsidP="00F22F5C">
      <w:pPr>
        <w:jc w:val="both"/>
        <w:rPr>
          <w:rFonts w:ascii="Georgia" w:hAnsi="Georgia"/>
        </w:rPr>
      </w:pPr>
      <w:r w:rsidRPr="00F65880">
        <w:rPr>
          <w:rFonts w:ascii="Georgia" w:hAnsi="Georgia"/>
        </w:rPr>
        <w:t xml:space="preserve">Bazuar në të lartcekurat, në kuptim të nenit 5,6 dhe 38 dhe në bazë të Nenit 43.1 dhe 46.2 të Ligjit për Konfliktet Administrative, gjykata e ka refuzuar kërkesëpadinë e paditësit dhe ka vendosur si në </w:t>
      </w:r>
      <w:proofErr w:type="spellStart"/>
      <w:r w:rsidRPr="00F65880">
        <w:rPr>
          <w:rFonts w:ascii="Georgia" w:hAnsi="Georgia"/>
        </w:rPr>
        <w:t>dispozitiv</w:t>
      </w:r>
      <w:proofErr w:type="spellEnd"/>
      <w:r w:rsidRPr="00F65880">
        <w:rPr>
          <w:rFonts w:ascii="Georgia" w:hAnsi="Georgia"/>
        </w:rPr>
        <w:t xml:space="preserve"> të këtij aktvendimi. </w:t>
      </w:r>
    </w:p>
    <w:p w:rsidR="00F22F5C" w:rsidRPr="00F65880" w:rsidRDefault="00F22F5C" w:rsidP="00F22F5C">
      <w:pPr>
        <w:jc w:val="both"/>
        <w:rPr>
          <w:rFonts w:ascii="Georgia" w:hAnsi="Georgia"/>
        </w:rPr>
      </w:pPr>
    </w:p>
    <w:p w:rsidR="00F22F5C" w:rsidRPr="00F65880" w:rsidRDefault="00F22F5C" w:rsidP="00F22F5C">
      <w:pPr>
        <w:jc w:val="both"/>
        <w:rPr>
          <w:rFonts w:ascii="Georgia" w:hAnsi="Georgia"/>
        </w:rPr>
      </w:pPr>
      <w:r w:rsidRPr="00F65880">
        <w:rPr>
          <w:rFonts w:ascii="Georgia" w:hAnsi="Georgia"/>
        </w:rPr>
        <w:t xml:space="preserve">         Vendimi mbi shpenzimet e procedurës është marrë në bazë të nenit 64 të LKA-së.</w:t>
      </w:r>
    </w:p>
    <w:p w:rsidR="00F22F5C" w:rsidRPr="00F65880" w:rsidRDefault="00F22F5C" w:rsidP="00F22F5C">
      <w:pPr>
        <w:jc w:val="both"/>
        <w:rPr>
          <w:rFonts w:ascii="Georgia" w:hAnsi="Georgia"/>
        </w:rPr>
      </w:pPr>
    </w:p>
    <w:p w:rsidR="00F22F5C" w:rsidRPr="00F65880" w:rsidRDefault="00F22F5C" w:rsidP="00F22F5C">
      <w:pPr>
        <w:jc w:val="center"/>
        <w:rPr>
          <w:rFonts w:ascii="Georgia" w:hAnsi="Georgia"/>
          <w:b/>
        </w:rPr>
      </w:pPr>
      <w:r w:rsidRPr="00F65880">
        <w:rPr>
          <w:rFonts w:ascii="Georgia" w:hAnsi="Georgia"/>
          <w:b/>
        </w:rPr>
        <w:t>GJYKATA THEMELORE NË PRISHTINË</w:t>
      </w:r>
    </w:p>
    <w:p w:rsidR="00F22F5C" w:rsidRPr="005027E0" w:rsidRDefault="00F22F5C" w:rsidP="00F22F5C">
      <w:pPr>
        <w:jc w:val="center"/>
        <w:rPr>
          <w:rFonts w:ascii="Georgia" w:hAnsi="Georgia"/>
        </w:rPr>
      </w:pPr>
      <w:r w:rsidRPr="005027E0">
        <w:rPr>
          <w:rFonts w:ascii="Georgia" w:hAnsi="Georgia"/>
        </w:rPr>
        <w:t>DEPARTAMENTI PËR ÇËSHTJE ADMINISTRATIVE</w:t>
      </w:r>
    </w:p>
    <w:p w:rsidR="00F22F5C" w:rsidRPr="005027E0" w:rsidRDefault="00F22F5C" w:rsidP="00F22F5C">
      <w:pPr>
        <w:jc w:val="center"/>
        <w:rPr>
          <w:rFonts w:ascii="Georgia" w:hAnsi="Georgia"/>
        </w:rPr>
      </w:pPr>
      <w:r w:rsidRPr="005027E0">
        <w:rPr>
          <w:rFonts w:ascii="Georgia" w:hAnsi="Georgia"/>
        </w:rPr>
        <w:t>A.nr.2845/19, d</w:t>
      </w:r>
      <w:bookmarkStart w:id="0" w:name="_GoBack"/>
      <w:bookmarkEnd w:id="0"/>
      <w:r w:rsidRPr="005027E0">
        <w:rPr>
          <w:rFonts w:ascii="Georgia" w:hAnsi="Georgia"/>
        </w:rPr>
        <w:t>t. 17.04.2024</w:t>
      </w:r>
    </w:p>
    <w:p w:rsidR="00F22F5C" w:rsidRPr="00F65880" w:rsidRDefault="00F22F5C" w:rsidP="00F22F5C">
      <w:pPr>
        <w:jc w:val="right"/>
        <w:rPr>
          <w:rFonts w:ascii="Georgia" w:hAnsi="Georgia"/>
        </w:rPr>
      </w:pPr>
      <w:r w:rsidRPr="00F65880">
        <w:rPr>
          <w:rFonts w:ascii="Georgia" w:hAnsi="Georgia"/>
          <w:b/>
        </w:rPr>
        <w:t xml:space="preserve">                                                                                                                      </w:t>
      </w:r>
      <w:r w:rsidRPr="00F65880">
        <w:rPr>
          <w:rFonts w:ascii="Georgia" w:hAnsi="Georgia"/>
        </w:rPr>
        <w:t>Gjyqtarja</w:t>
      </w:r>
    </w:p>
    <w:p w:rsidR="00F22F5C" w:rsidRPr="00F65880" w:rsidRDefault="00F22F5C" w:rsidP="00F22F5C">
      <w:pPr>
        <w:jc w:val="right"/>
        <w:rPr>
          <w:rFonts w:ascii="Georgia" w:hAnsi="Georgia"/>
        </w:rPr>
      </w:pPr>
      <w:r w:rsidRPr="00F65880">
        <w:rPr>
          <w:rFonts w:ascii="Georgia" w:hAnsi="Georgia"/>
        </w:rPr>
        <w:t xml:space="preserve">                                                                                                                        Anita </w:t>
      </w:r>
      <w:proofErr w:type="spellStart"/>
      <w:r w:rsidRPr="00F65880">
        <w:rPr>
          <w:rFonts w:ascii="Georgia" w:hAnsi="Georgia"/>
        </w:rPr>
        <w:t>Nikçi</w:t>
      </w:r>
      <w:proofErr w:type="spellEnd"/>
      <w:r w:rsidRPr="00F65880">
        <w:rPr>
          <w:rFonts w:ascii="Georgia" w:hAnsi="Georgia"/>
        </w:rPr>
        <w:t>-Morina</w:t>
      </w:r>
    </w:p>
    <w:p w:rsidR="00F22F5C" w:rsidRPr="00F65880" w:rsidRDefault="00F22F5C" w:rsidP="00F22F5C">
      <w:pPr>
        <w:jc w:val="both"/>
        <w:rPr>
          <w:rFonts w:ascii="Georgia" w:hAnsi="Georgia"/>
        </w:rPr>
      </w:pPr>
      <w:r w:rsidRPr="00F65880">
        <w:rPr>
          <w:rFonts w:ascii="Georgia" w:hAnsi="Georgia"/>
        </w:rPr>
        <w:t xml:space="preserve">                                                                                                                    </w:t>
      </w:r>
    </w:p>
    <w:p w:rsidR="00F22F5C" w:rsidRPr="00F65880" w:rsidRDefault="00F22F5C" w:rsidP="00F22F5C">
      <w:pPr>
        <w:jc w:val="both"/>
        <w:rPr>
          <w:rFonts w:ascii="Georgia" w:hAnsi="Georgia"/>
        </w:rPr>
      </w:pPr>
      <w:r w:rsidRPr="00F65880">
        <w:rPr>
          <w:rFonts w:ascii="Georgia" w:hAnsi="Georgia"/>
        </w:rPr>
        <w:t>KËSHILLA JURIDIKE: Kundër këtij aktvendimi është e lejuar ankesa në afat prej 15 ditësh, nga dita e Marrjes së të njëjtit , në Gjykatën e Apelit në Prishtinë nëpërmes kësaj gjykate.</w:t>
      </w:r>
    </w:p>
    <w:p w:rsidR="00F22F5C" w:rsidRPr="00F65880" w:rsidRDefault="00F22F5C" w:rsidP="00F22F5C">
      <w:pPr>
        <w:jc w:val="both"/>
        <w:rPr>
          <w:rFonts w:ascii="Georgia" w:hAnsi="Georgia"/>
        </w:rPr>
      </w:pPr>
    </w:p>
    <w:p w:rsidR="00F22F5C" w:rsidRPr="00F65880" w:rsidRDefault="00F22F5C" w:rsidP="00F22F5C">
      <w:pPr>
        <w:jc w:val="center"/>
        <w:rPr>
          <w:rFonts w:ascii="Georgia" w:hAnsi="Georgia"/>
        </w:rPr>
      </w:pPr>
    </w:p>
    <w:p w:rsidR="00F22F5C" w:rsidRPr="00F65880" w:rsidRDefault="00F22F5C" w:rsidP="00F22F5C">
      <w:pPr>
        <w:jc w:val="both"/>
        <w:rPr>
          <w:rFonts w:ascii="Georgia" w:hAnsi="Georgia"/>
        </w:rPr>
      </w:pPr>
    </w:p>
    <w:p w:rsidR="00F22F5C" w:rsidRPr="00F65880" w:rsidRDefault="00F22F5C" w:rsidP="00F22F5C">
      <w:pPr>
        <w:rPr>
          <w:rFonts w:ascii="Georgia" w:hAnsi="Georgia"/>
        </w:rPr>
      </w:pPr>
    </w:p>
    <w:p w:rsidR="00F22F5C" w:rsidRPr="00F65880" w:rsidRDefault="00F22F5C" w:rsidP="00F22F5C">
      <w:pPr>
        <w:jc w:val="both"/>
        <w:rPr>
          <w:rFonts w:ascii="Georgia" w:hAnsi="Georgia"/>
        </w:rPr>
      </w:pPr>
    </w:p>
    <w:p w:rsidR="00F22F5C" w:rsidRPr="00F65880" w:rsidRDefault="00F22F5C" w:rsidP="00F22F5C">
      <w:pPr>
        <w:jc w:val="both"/>
        <w:rPr>
          <w:rFonts w:ascii="Georgia" w:hAnsi="Georgia"/>
        </w:rPr>
      </w:pPr>
    </w:p>
    <w:p w:rsidR="001A1ED3" w:rsidRPr="00F65880" w:rsidRDefault="001A1ED3" w:rsidP="00731283">
      <w:pPr>
        <w:jc w:val="both"/>
        <w:rPr>
          <w:rFonts w:ascii="Georgia" w:hAnsi="Georgia"/>
        </w:rPr>
      </w:pPr>
    </w:p>
    <w:p w:rsidR="001A1ED3" w:rsidRPr="00F65880" w:rsidRDefault="001A1ED3" w:rsidP="00731283">
      <w:pPr>
        <w:jc w:val="both"/>
        <w:rPr>
          <w:rFonts w:ascii="Georgia" w:hAnsi="Georgia"/>
        </w:rPr>
      </w:pPr>
    </w:p>
    <w:p w:rsidR="001A1ED3" w:rsidRPr="00F65880" w:rsidRDefault="001A1ED3" w:rsidP="00731283">
      <w:pPr>
        <w:jc w:val="both"/>
        <w:rPr>
          <w:rFonts w:ascii="Georgia" w:hAnsi="Georgia"/>
        </w:rPr>
      </w:pPr>
    </w:p>
    <w:p w:rsidR="000B444F" w:rsidRPr="00F65880" w:rsidRDefault="000B444F" w:rsidP="001A1ED3">
      <w:pPr>
        <w:rPr>
          <w:rFonts w:ascii="Georgia" w:hAnsi="Georgia"/>
        </w:rPr>
      </w:pPr>
    </w:p>
    <w:p w:rsidR="00F65880" w:rsidRPr="00F65880" w:rsidRDefault="00F65880">
      <w:pPr>
        <w:rPr>
          <w:rFonts w:ascii="Georgia" w:hAnsi="Georgia"/>
        </w:rPr>
      </w:pPr>
    </w:p>
    <w:sectPr w:rsidR="00F65880" w:rsidRPr="00F65880"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2A" w:rsidRDefault="00AD592A" w:rsidP="004369F3">
      <w:r>
        <w:separator/>
      </w:r>
    </w:p>
  </w:endnote>
  <w:endnote w:type="continuationSeparator" w:id="0">
    <w:p w:rsidR="00AD592A" w:rsidRDefault="00AD592A"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swiss"/>
    <w:pitch w:val="variable"/>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F6B3F" w:rsidP="00EB64E5">
    <w:pPr>
      <w:pStyle w:val="Footer"/>
      <w:jc w:val="center"/>
    </w:pPr>
    <w:r>
      <w:rPr>
        <w:noProof/>
        <w:lang w:eastAsia="sq-AL"/>
      </w:rPr>
      <mc:AlternateContent>
        <mc:Choice Requires="wps">
          <w:drawing>
            <wp:anchor distT="0" distB="0" distL="114300" distR="114300" simplePos="0" relativeHeight="251657216"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2023:193351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2023:193351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5027E0">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5027E0">
      <w:rPr>
        <w:noProof/>
      </w:rPr>
      <w:t>3</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A3D57">
    <w:pPr>
      <w:pStyle w:val="Footer"/>
      <w:jc w:val="center"/>
    </w:pPr>
    <w:r>
      <w:rPr>
        <w:noProof/>
        <w:lang w:eastAsia="sq-AL"/>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2023:193351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2023:193351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5027E0">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5027E0">
      <w:rPr>
        <w:noProof/>
      </w:rPr>
      <w:t>3</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2A" w:rsidRDefault="00AD592A" w:rsidP="004369F3">
      <w:r>
        <w:separator/>
      </w:r>
    </w:p>
  </w:footnote>
  <w:footnote w:type="continuationSeparator" w:id="0">
    <w:p w:rsidR="00AD592A" w:rsidRDefault="00AD592A"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2019:279566</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20.05.2024</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05705777</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064A8A"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eastAsia="sq-AL"/>
            </w:rPr>
            <w:drawing>
              <wp:inline distT="0" distB="0" distL="0" distR="0" wp14:anchorId="00E550EA">
                <wp:extent cx="579120" cy="629285"/>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62928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AD592A"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6129"/>
    <w:multiLevelType w:val="hybridMultilevel"/>
    <w:tmpl w:val="FC26E210"/>
    <w:lvl w:ilvl="0" w:tplc="F5A2FB5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3"/>
  </w:num>
  <w:num w:numId="11">
    <w:abstractNumId w:val="0"/>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64A8A"/>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B5DA3"/>
    <w:rsid w:val="002D0F49"/>
    <w:rsid w:val="002D659B"/>
    <w:rsid w:val="002D7508"/>
    <w:rsid w:val="002E3A73"/>
    <w:rsid w:val="002F128F"/>
    <w:rsid w:val="002F444A"/>
    <w:rsid w:val="00317FC3"/>
    <w:rsid w:val="00321727"/>
    <w:rsid w:val="003220C4"/>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179F"/>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27E0"/>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35472"/>
    <w:rsid w:val="00840531"/>
    <w:rsid w:val="008472C8"/>
    <w:rsid w:val="00860EB4"/>
    <w:rsid w:val="00862145"/>
    <w:rsid w:val="00880C1A"/>
    <w:rsid w:val="008901FB"/>
    <w:rsid w:val="00890F47"/>
    <w:rsid w:val="00894496"/>
    <w:rsid w:val="008C15D0"/>
    <w:rsid w:val="008C1A0D"/>
    <w:rsid w:val="008C25B1"/>
    <w:rsid w:val="008C3F96"/>
    <w:rsid w:val="008D53BB"/>
    <w:rsid w:val="008D751B"/>
    <w:rsid w:val="008E0E4C"/>
    <w:rsid w:val="008E5B6E"/>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A6DC1"/>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D592A"/>
    <w:rsid w:val="00AE268D"/>
    <w:rsid w:val="00B12D5F"/>
    <w:rsid w:val="00B219B8"/>
    <w:rsid w:val="00B21DC0"/>
    <w:rsid w:val="00B3766C"/>
    <w:rsid w:val="00B4009F"/>
    <w:rsid w:val="00B41F70"/>
    <w:rsid w:val="00B43EED"/>
    <w:rsid w:val="00B4681B"/>
    <w:rsid w:val="00B67C64"/>
    <w:rsid w:val="00B76568"/>
    <w:rsid w:val="00B91678"/>
    <w:rsid w:val="00B92B8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1435"/>
    <w:rsid w:val="00C36062"/>
    <w:rsid w:val="00C43945"/>
    <w:rsid w:val="00C50BC0"/>
    <w:rsid w:val="00C52DA1"/>
    <w:rsid w:val="00C53816"/>
    <w:rsid w:val="00C546A3"/>
    <w:rsid w:val="00C56BE4"/>
    <w:rsid w:val="00C67268"/>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85DB9"/>
    <w:rsid w:val="00D93270"/>
    <w:rsid w:val="00D965B0"/>
    <w:rsid w:val="00DA4982"/>
    <w:rsid w:val="00DB2D2E"/>
    <w:rsid w:val="00DB6808"/>
    <w:rsid w:val="00DD7273"/>
    <w:rsid w:val="00DE09C1"/>
    <w:rsid w:val="00DE2DDC"/>
    <w:rsid w:val="00DE522B"/>
    <w:rsid w:val="00DE6231"/>
    <w:rsid w:val="00E16CB2"/>
    <w:rsid w:val="00E22B94"/>
    <w:rsid w:val="00E23370"/>
    <w:rsid w:val="00E3064B"/>
    <w:rsid w:val="00E31C71"/>
    <w:rsid w:val="00E42A89"/>
    <w:rsid w:val="00E50504"/>
    <w:rsid w:val="00E52A9F"/>
    <w:rsid w:val="00E6049D"/>
    <w:rsid w:val="00E67F8A"/>
    <w:rsid w:val="00E74AA7"/>
    <w:rsid w:val="00E84134"/>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2F5C"/>
    <w:rsid w:val="00F27CC5"/>
    <w:rsid w:val="00F36BB6"/>
    <w:rsid w:val="00F40D4F"/>
    <w:rsid w:val="00F41ED1"/>
    <w:rsid w:val="00F42421"/>
    <w:rsid w:val="00F4254C"/>
    <w:rsid w:val="00F460E4"/>
    <w:rsid w:val="00F46A26"/>
    <w:rsid w:val="00F5021B"/>
    <w:rsid w:val="00F52288"/>
    <w:rsid w:val="00F56F44"/>
    <w:rsid w:val="00F640CF"/>
    <w:rsid w:val="00F65880"/>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469DE"/>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paragraph" w:styleId="BodyText">
    <w:name w:val="Body Text"/>
    <w:basedOn w:val="Normal"/>
    <w:link w:val="BodyTextChar"/>
    <w:rsid w:val="00F22F5C"/>
    <w:pPr>
      <w:jc w:val="both"/>
    </w:pPr>
    <w:rPr>
      <w:rFonts w:eastAsia="Times New Roman"/>
      <w:lang w:val="en-US"/>
    </w:rPr>
  </w:style>
  <w:style w:type="character" w:customStyle="1" w:styleId="BodyTextChar">
    <w:name w:val="Body Text Char"/>
    <w:basedOn w:val="DefaultParagraphFont"/>
    <w:link w:val="BodyText"/>
    <w:rsid w:val="00F22F5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swiss"/>
    <w:pitch w:val="variable"/>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0D63"/>
    <w:rsid w:val="000B1E49"/>
    <w:rsid w:val="0015199A"/>
    <w:rsid w:val="00155292"/>
    <w:rsid w:val="00202A92"/>
    <w:rsid w:val="00203FFB"/>
    <w:rsid w:val="00236753"/>
    <w:rsid w:val="002B6124"/>
    <w:rsid w:val="002F2525"/>
    <w:rsid w:val="002F413B"/>
    <w:rsid w:val="00365839"/>
    <w:rsid w:val="00393D8E"/>
    <w:rsid w:val="003D6BEA"/>
    <w:rsid w:val="0040397C"/>
    <w:rsid w:val="00404F8D"/>
    <w:rsid w:val="00444229"/>
    <w:rsid w:val="00473CC2"/>
    <w:rsid w:val="004744C8"/>
    <w:rsid w:val="00496BFB"/>
    <w:rsid w:val="0051602F"/>
    <w:rsid w:val="00520A20"/>
    <w:rsid w:val="00533905"/>
    <w:rsid w:val="00544EE6"/>
    <w:rsid w:val="00557FF8"/>
    <w:rsid w:val="005C35F2"/>
    <w:rsid w:val="00614A5B"/>
    <w:rsid w:val="00695076"/>
    <w:rsid w:val="006D3DE0"/>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A1320"/>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7C"/>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74E33E1D59D9471F9A91BCAA99844F64">
    <w:name w:val="74E33E1D59D9471F9A91BCAA99844F64"/>
    <w:rsid w:val="0040397C"/>
    <w:rPr>
      <w:lang w:val="en-US" w:eastAsia="en-US"/>
    </w:rPr>
  </w:style>
  <w:style w:type="paragraph" w:customStyle="1" w:styleId="AF72CB455A854E3CA219610CA3EDDC5B">
    <w:name w:val="AF72CB455A854E3CA219610CA3EDDC5B"/>
    <w:rsid w:val="0040397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7D5E-FE76-4CD4-8B50-0C646BDB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Ardian Maxhuni</cp:lastModifiedBy>
  <cp:revision>3</cp:revision>
  <cp:lastPrinted>2024-05-20T08:44:00Z</cp:lastPrinted>
  <dcterms:created xsi:type="dcterms:W3CDTF">2024-07-22T08:39:00Z</dcterms:created>
  <dcterms:modified xsi:type="dcterms:W3CDTF">2024-07-22T12:20:00Z</dcterms:modified>
</cp:coreProperties>
</file>